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C84" w:rsidRPr="002531B8" w:rsidRDefault="00B83E08" w:rsidP="00606C84">
      <w:pPr>
        <w:pStyle w:val="MDPI11articletype"/>
      </w:pPr>
      <w:r>
        <w:t>Supplementary Information for Article</w:t>
      </w:r>
    </w:p>
    <w:p w:rsidR="00A50874" w:rsidRDefault="00491E1A" w:rsidP="00606C84">
      <w:pPr>
        <w:pStyle w:val="MDPI13authornames"/>
        <w:rPr>
          <w:snapToGrid w:val="0"/>
          <w:sz w:val="36"/>
          <w:szCs w:val="20"/>
        </w:rPr>
      </w:pPr>
      <w:r w:rsidRPr="00DC2834">
        <w:rPr>
          <w:snapToGrid w:val="0"/>
          <w:sz w:val="36"/>
          <w:szCs w:val="20"/>
        </w:rPr>
        <w:t>Revealing the influence of the degumming process in the properties of silk fibroin nanoparticles.</w:t>
      </w:r>
      <w:bookmarkStart w:id="0" w:name="_GoBack"/>
      <w:bookmarkEnd w:id="0"/>
    </w:p>
    <w:p w:rsidR="00A50874" w:rsidRDefault="00A50874" w:rsidP="00A50874">
      <w:pPr>
        <w:pStyle w:val="MDPI16affiliation"/>
        <w:rPr>
          <w:b/>
          <w:sz w:val="20"/>
          <w:szCs w:val="22"/>
          <w:lang w:val="es-ES"/>
        </w:rPr>
      </w:pPr>
      <w:proofErr w:type="spellStart"/>
      <w:r w:rsidRPr="00A50874">
        <w:rPr>
          <w:b/>
          <w:sz w:val="20"/>
          <w:szCs w:val="22"/>
          <w:lang w:val="es-ES"/>
        </w:rPr>
        <w:t>Guzmán C</w:t>
      </w:r>
      <w:proofErr w:type="spellEnd"/>
      <w:r w:rsidRPr="00A50874">
        <w:rPr>
          <w:b/>
          <w:sz w:val="20"/>
          <w:szCs w:val="22"/>
          <w:lang w:val="es-ES"/>
        </w:rPr>
        <w:t>arissimi</w:t>
      </w:r>
      <w:r w:rsidRPr="00A50874">
        <w:rPr>
          <w:b/>
          <w:sz w:val="20"/>
          <w:szCs w:val="22"/>
          <w:vertAlign w:val="superscript"/>
          <w:lang w:val="es-ES"/>
        </w:rPr>
        <w:t>1</w:t>
      </w:r>
      <w:r w:rsidR="0017049D">
        <w:rPr>
          <w:b/>
          <w:sz w:val="20"/>
          <w:szCs w:val="22"/>
          <w:vertAlign w:val="superscript"/>
          <w:lang w:val="es-ES"/>
        </w:rPr>
        <w:t>§</w:t>
      </w:r>
      <w:r w:rsidRPr="00A50874">
        <w:rPr>
          <w:b/>
          <w:sz w:val="20"/>
          <w:szCs w:val="22"/>
          <w:lang w:val="es-ES"/>
        </w:rPr>
        <w:t>, A. Abel Lozano-Pérez</w:t>
      </w:r>
      <w:r w:rsidRPr="00A50874">
        <w:rPr>
          <w:b/>
          <w:sz w:val="20"/>
          <w:szCs w:val="22"/>
          <w:vertAlign w:val="superscript"/>
          <w:lang w:val="es-ES"/>
        </w:rPr>
        <w:t>2</w:t>
      </w:r>
      <w:r w:rsidR="0017049D">
        <w:rPr>
          <w:b/>
          <w:sz w:val="20"/>
          <w:szCs w:val="22"/>
          <w:vertAlign w:val="superscript"/>
          <w:lang w:val="es-ES"/>
        </w:rPr>
        <w:t>§</w:t>
      </w:r>
      <w:r w:rsidR="0017049D">
        <w:rPr>
          <w:b/>
          <w:sz w:val="20"/>
          <w:szCs w:val="22"/>
          <w:lang w:val="es-ES"/>
        </w:rPr>
        <w:t>,</w:t>
      </w:r>
      <w:r w:rsidRPr="00A50874">
        <w:rPr>
          <w:b/>
          <w:sz w:val="20"/>
          <w:szCs w:val="22"/>
          <w:lang w:val="es-ES"/>
        </w:rPr>
        <w:t xml:space="preserve"> Mercedes G. Montalbán</w:t>
      </w:r>
      <w:r w:rsidRPr="00A50874">
        <w:rPr>
          <w:b/>
          <w:sz w:val="20"/>
          <w:szCs w:val="22"/>
          <w:vertAlign w:val="superscript"/>
          <w:lang w:val="es-ES"/>
        </w:rPr>
        <w:t>3</w:t>
      </w:r>
      <w:r>
        <w:rPr>
          <w:b/>
          <w:sz w:val="20"/>
          <w:szCs w:val="22"/>
          <w:lang w:val="es-ES"/>
        </w:rPr>
        <w:t xml:space="preserve">, Salvador D. </w:t>
      </w:r>
      <w:r w:rsidRPr="00A50874">
        <w:rPr>
          <w:b/>
          <w:sz w:val="20"/>
          <w:szCs w:val="22"/>
          <w:lang w:val="es-ES"/>
        </w:rPr>
        <w:t>Aznar-Cervantes</w:t>
      </w:r>
      <w:r w:rsidRPr="00A50874">
        <w:rPr>
          <w:b/>
          <w:sz w:val="20"/>
          <w:szCs w:val="22"/>
          <w:vertAlign w:val="superscript"/>
          <w:lang w:val="es-ES"/>
        </w:rPr>
        <w:t>2</w:t>
      </w:r>
      <w:r w:rsidRPr="00A50874">
        <w:rPr>
          <w:b/>
          <w:sz w:val="20"/>
          <w:szCs w:val="22"/>
          <w:lang w:val="es-ES"/>
        </w:rPr>
        <w:t>, José Luis Cenis</w:t>
      </w:r>
      <w:r w:rsidRPr="00A50874">
        <w:rPr>
          <w:b/>
          <w:sz w:val="20"/>
          <w:szCs w:val="22"/>
          <w:vertAlign w:val="superscript"/>
          <w:lang w:val="es-ES"/>
        </w:rPr>
        <w:t>2</w:t>
      </w:r>
      <w:r w:rsidRPr="00A50874">
        <w:rPr>
          <w:b/>
          <w:sz w:val="20"/>
          <w:szCs w:val="22"/>
          <w:lang w:val="es-ES"/>
        </w:rPr>
        <w:t xml:space="preserve"> and Gloria Víllora</w:t>
      </w:r>
      <w:r w:rsidRPr="00A50874">
        <w:rPr>
          <w:b/>
          <w:sz w:val="20"/>
          <w:szCs w:val="22"/>
          <w:vertAlign w:val="superscript"/>
          <w:lang w:val="es-ES"/>
        </w:rPr>
        <w:t>1</w:t>
      </w:r>
      <w:r w:rsidR="0017049D">
        <w:rPr>
          <w:b/>
          <w:sz w:val="20"/>
          <w:szCs w:val="22"/>
          <w:lang w:val="es-ES"/>
        </w:rPr>
        <w:t>*</w:t>
      </w:r>
      <w:r w:rsidRPr="00A50874">
        <w:rPr>
          <w:b/>
          <w:sz w:val="20"/>
          <w:szCs w:val="22"/>
          <w:lang w:val="es-ES"/>
        </w:rPr>
        <w:t>.</w:t>
      </w:r>
    </w:p>
    <w:p w:rsidR="00606C84" w:rsidRPr="00A50874" w:rsidRDefault="00606C84" w:rsidP="00A50874">
      <w:pPr>
        <w:pStyle w:val="MDPI16affiliation"/>
        <w:rPr>
          <w:b/>
          <w:sz w:val="20"/>
          <w:szCs w:val="22"/>
        </w:rPr>
      </w:pPr>
      <w:r w:rsidRPr="00A50874">
        <w:rPr>
          <w:vertAlign w:val="superscript"/>
        </w:rPr>
        <w:t>1</w:t>
      </w:r>
      <w:r w:rsidRPr="00A50874">
        <w:tab/>
      </w:r>
      <w:r w:rsidR="00A50874" w:rsidRPr="00A50874">
        <w:t xml:space="preserve">Department of Chemical Engineering, Faculty of Chemistry, University of Murcia (UMU), Campus de </w:t>
      </w:r>
      <w:proofErr w:type="spellStart"/>
      <w:r w:rsidR="00A50874" w:rsidRPr="00A50874">
        <w:t>Espinardo</w:t>
      </w:r>
      <w:proofErr w:type="spellEnd"/>
      <w:r w:rsidR="00A50874" w:rsidRPr="00A50874">
        <w:t xml:space="preserve"> (Murcia), 30100, Spain</w:t>
      </w:r>
      <w:r w:rsidRPr="00A50874">
        <w:t xml:space="preserve">; </w:t>
      </w:r>
    </w:p>
    <w:p w:rsidR="00606C84" w:rsidRPr="005719EA" w:rsidRDefault="00606C84" w:rsidP="00606C84">
      <w:pPr>
        <w:pStyle w:val="MDPI16affiliation"/>
        <w:rPr>
          <w:szCs w:val="20"/>
        </w:rPr>
      </w:pPr>
      <w:r w:rsidRPr="00A50874">
        <w:rPr>
          <w:szCs w:val="20"/>
          <w:vertAlign w:val="superscript"/>
          <w:lang w:val="es-ES"/>
        </w:rPr>
        <w:t>2</w:t>
      </w:r>
      <w:r w:rsidRPr="00A50874">
        <w:rPr>
          <w:szCs w:val="20"/>
          <w:lang w:val="es-ES"/>
        </w:rPr>
        <w:tab/>
      </w:r>
      <w:proofErr w:type="spellStart"/>
      <w:r w:rsidR="00A50874" w:rsidRPr="00A50874">
        <w:rPr>
          <w:szCs w:val="20"/>
          <w:lang w:val="es-ES"/>
        </w:rPr>
        <w:t>Department</w:t>
      </w:r>
      <w:proofErr w:type="spellEnd"/>
      <w:r w:rsidR="00A50874" w:rsidRPr="00A50874">
        <w:rPr>
          <w:szCs w:val="20"/>
          <w:lang w:val="es-ES"/>
        </w:rPr>
        <w:t xml:space="preserve"> of </w:t>
      </w:r>
      <w:proofErr w:type="spellStart"/>
      <w:r w:rsidR="00A50874" w:rsidRPr="00A50874">
        <w:rPr>
          <w:szCs w:val="20"/>
          <w:lang w:val="es-ES"/>
        </w:rPr>
        <w:t>Biotechnology</w:t>
      </w:r>
      <w:proofErr w:type="spellEnd"/>
      <w:r w:rsidR="00A50874" w:rsidRPr="00A50874">
        <w:rPr>
          <w:szCs w:val="20"/>
          <w:lang w:val="es-ES"/>
        </w:rPr>
        <w:t xml:space="preserve">, Instituto Murciano de Investigación y Desarrollo Agrario y Alimentario (IMIDA). </w:t>
      </w:r>
      <w:r w:rsidR="00A50874" w:rsidRPr="005719EA">
        <w:rPr>
          <w:szCs w:val="20"/>
        </w:rPr>
        <w:t xml:space="preserve">La </w:t>
      </w:r>
      <w:proofErr w:type="spellStart"/>
      <w:r w:rsidR="00A50874" w:rsidRPr="005719EA">
        <w:rPr>
          <w:szCs w:val="20"/>
        </w:rPr>
        <w:t>Alberca</w:t>
      </w:r>
      <w:proofErr w:type="spellEnd"/>
      <w:r w:rsidR="00A50874" w:rsidRPr="005719EA">
        <w:rPr>
          <w:szCs w:val="20"/>
        </w:rPr>
        <w:t xml:space="preserve"> (Murcia), 30150, Spain.</w:t>
      </w:r>
    </w:p>
    <w:p w:rsidR="00A50874" w:rsidRPr="00A50874" w:rsidRDefault="00A50874" w:rsidP="00A50874">
      <w:pPr>
        <w:pStyle w:val="MDPI16affiliation"/>
        <w:rPr>
          <w:szCs w:val="20"/>
        </w:rPr>
      </w:pPr>
      <w:r w:rsidRPr="00A50874">
        <w:rPr>
          <w:szCs w:val="20"/>
          <w:vertAlign w:val="superscript"/>
        </w:rPr>
        <w:t>3</w:t>
      </w:r>
      <w:r w:rsidRPr="00A50874">
        <w:rPr>
          <w:szCs w:val="20"/>
        </w:rPr>
        <w:tab/>
        <w:t xml:space="preserve">Department of Chemical Engineering, University of Alicante, </w:t>
      </w:r>
      <w:proofErr w:type="spellStart"/>
      <w:r w:rsidRPr="00A50874">
        <w:rPr>
          <w:szCs w:val="20"/>
        </w:rPr>
        <w:t>Apartado</w:t>
      </w:r>
      <w:proofErr w:type="spellEnd"/>
      <w:r w:rsidRPr="00A50874">
        <w:rPr>
          <w:szCs w:val="20"/>
        </w:rPr>
        <w:t xml:space="preserve"> 99, 03080, Alicante, Spain</w:t>
      </w:r>
      <w:r>
        <w:rPr>
          <w:szCs w:val="20"/>
        </w:rPr>
        <w:t>.</w:t>
      </w:r>
    </w:p>
    <w:p w:rsidR="0017049D" w:rsidRDefault="0017049D" w:rsidP="00606C84">
      <w:pPr>
        <w:pStyle w:val="MDPI14history"/>
        <w:spacing w:before="0"/>
        <w:ind w:left="311" w:hanging="198"/>
        <w:rPr>
          <w:b/>
        </w:rPr>
      </w:pPr>
      <w:r w:rsidRPr="0017049D">
        <w:rPr>
          <w:b/>
          <w:sz w:val="20"/>
          <w:szCs w:val="22"/>
          <w:vertAlign w:val="superscript"/>
        </w:rPr>
        <w:t xml:space="preserve">§  </w:t>
      </w:r>
      <w:r>
        <w:rPr>
          <w:b/>
          <w:sz w:val="20"/>
          <w:szCs w:val="22"/>
          <w:vertAlign w:val="superscript"/>
        </w:rPr>
        <w:t xml:space="preserve"> </w:t>
      </w:r>
      <w:r>
        <w:t>Authors contributed equally.</w:t>
      </w:r>
    </w:p>
    <w:p w:rsidR="00606C84" w:rsidRPr="002531B8" w:rsidRDefault="00606C84" w:rsidP="0017049D">
      <w:pPr>
        <w:pStyle w:val="MDPI14history"/>
        <w:spacing w:before="0"/>
      </w:pPr>
      <w:r w:rsidRPr="002531B8">
        <w:rPr>
          <w:b/>
        </w:rPr>
        <w:t>*</w:t>
      </w:r>
      <w:r w:rsidR="0017049D">
        <w:t xml:space="preserve"> </w:t>
      </w:r>
      <w:r w:rsidRPr="002531B8">
        <w:t xml:space="preserve">Correspondence: </w:t>
      </w:r>
      <w:r w:rsidR="0017049D">
        <w:t>gvillora</w:t>
      </w:r>
      <w:r w:rsidR="00A50874">
        <w:t>@um.es</w:t>
      </w:r>
      <w:r w:rsidRPr="002531B8">
        <w:t xml:space="preserve">; </w:t>
      </w:r>
      <w:r w:rsidR="00726EFA">
        <w:t>(</w:t>
      </w:r>
      <w:r w:rsidR="0017049D">
        <w:t>G.V</w:t>
      </w:r>
      <w:r w:rsidR="00DD3E5B">
        <w:t>.</w:t>
      </w:r>
      <w:r w:rsidR="00726EFA">
        <w:t>)</w:t>
      </w:r>
    </w:p>
    <w:p w:rsidR="00606C84" w:rsidRDefault="00606C84" w:rsidP="00606C84">
      <w:pPr>
        <w:pStyle w:val="MDPI14history"/>
      </w:pPr>
      <w:r w:rsidRPr="002531B8">
        <w:t>Received: date; Accepted: date; Published: date</w:t>
      </w:r>
    </w:p>
    <w:p w:rsidR="00F7729E" w:rsidRDefault="00F7729E" w:rsidP="00F7729E">
      <w:pPr>
        <w:rPr>
          <w:lang w:bidi="en-US"/>
        </w:rPr>
      </w:pPr>
    </w:p>
    <w:p w:rsidR="00B83E08" w:rsidRDefault="00B83E08" w:rsidP="00B83E08">
      <w:pPr>
        <w:pStyle w:val="MDPI12title"/>
      </w:pPr>
    </w:p>
    <w:p w:rsidR="00B83E08" w:rsidRPr="002531B8" w:rsidRDefault="00B83E08" w:rsidP="00B83E08">
      <w:pPr>
        <w:pStyle w:val="MDPI12title"/>
      </w:pPr>
      <w:r>
        <w:t>Supplementary Information for Article</w:t>
      </w:r>
    </w:p>
    <w:p w:rsidR="00F7729E" w:rsidRDefault="00F7729E" w:rsidP="00F7729E">
      <w:pPr>
        <w:pStyle w:val="Ttulo2"/>
        <w:rPr>
          <w:sz w:val="24"/>
        </w:rPr>
      </w:pPr>
    </w:p>
    <w:p w:rsidR="00F7729E" w:rsidRDefault="00F7729E" w:rsidP="00F7729E">
      <w:pPr>
        <w:jc w:val="center"/>
      </w:pPr>
      <w:r>
        <w:object w:dxaOrig="5645" w:dyaOrig="40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.75pt;height:240pt" o:ole="" filled="t">
            <v:imagedata r:id="rId8" o:title=""/>
          </v:shape>
          <o:OLEObject Type="Embed" ProgID="Prism8.Document" ShapeID="_x0000_i1025" DrawAspect="Content" ObjectID="_1634027325" r:id="rId9"/>
        </w:object>
      </w:r>
    </w:p>
    <w:p w:rsidR="00F7729E" w:rsidRPr="00DB759A" w:rsidRDefault="00F7729E" w:rsidP="00F7729E">
      <w:pPr>
        <w:pStyle w:val="MDPI51figurecaption"/>
      </w:pPr>
      <w:r w:rsidRPr="00F7729E">
        <w:rPr>
          <w:b/>
        </w:rPr>
        <w:t>Figure S1</w:t>
      </w:r>
      <w:r w:rsidRPr="00DB759A">
        <w:t xml:space="preserve">. </w:t>
      </w:r>
      <w:bookmarkStart w:id="1" w:name="OLE_LINK1"/>
      <w:r w:rsidRPr="00DB759A">
        <w:t xml:space="preserve">Example of base line traced in Amide III absorption band for the crystallinity index calculation. </w:t>
      </w:r>
      <w:bookmarkEnd w:id="1"/>
    </w:p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Pr="00DB759A" w:rsidRDefault="00F7729E" w:rsidP="00F7729E">
      <w:pPr>
        <w:pStyle w:val="MDPI41tablecaption"/>
      </w:pPr>
      <w:r w:rsidRPr="00F03A75">
        <w:rPr>
          <w:b/>
        </w:rPr>
        <w:lastRenderedPageBreak/>
        <w:t>Table S1.</w:t>
      </w:r>
      <w:r w:rsidRPr="00DB759A">
        <w:t xml:space="preserve"> Assignment of the vibration bands in Amide I </w:t>
      </w:r>
    </w:p>
    <w:tbl>
      <w:tblPr>
        <w:tblStyle w:val="Tablanormal2"/>
        <w:tblW w:w="8830" w:type="dxa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575"/>
        <w:gridCol w:w="3255"/>
      </w:tblGrid>
      <w:tr w:rsidR="00F7729E" w:rsidRPr="00644E13" w:rsidTr="00F77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:rsidR="00F7729E" w:rsidRPr="00DE0B8E" w:rsidRDefault="00F7729E" w:rsidP="00F7729E">
            <w:pPr>
              <w:pStyle w:val="MDPI42tablebody"/>
              <w:rPr>
                <w:lang w:eastAsia="es-ES"/>
              </w:rPr>
            </w:pPr>
            <w:r w:rsidRPr="00DE0B8E">
              <w:rPr>
                <w:lang w:eastAsia="es-ES"/>
              </w:rPr>
              <w:t>Secondary structure feature</w:t>
            </w:r>
          </w:p>
        </w:tc>
        <w:tc>
          <w:tcPr>
            <w:tcW w:w="3255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:rsidR="00F7729E" w:rsidRPr="00DE0B8E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s-ES"/>
              </w:rPr>
            </w:pPr>
            <w:r w:rsidRPr="00DE0B8E">
              <w:rPr>
                <w:lang w:eastAsia="es-ES"/>
              </w:rPr>
              <w:t>Wavenumber range (cm</w:t>
            </w:r>
            <w:r w:rsidRPr="00DE0B8E">
              <w:rPr>
                <w:vertAlign w:val="superscript"/>
                <w:lang w:eastAsia="es-ES"/>
              </w:rPr>
              <w:t>-1</w:t>
            </w:r>
            <w:r w:rsidRPr="00DE0B8E">
              <w:rPr>
                <w:lang w:eastAsia="es-ES"/>
              </w:rPr>
              <w:t>)</w:t>
            </w:r>
          </w:p>
        </w:tc>
      </w:tr>
      <w:tr w:rsidR="00F7729E" w:rsidRPr="00644E13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tcBorders>
              <w:top w:val="single" w:sz="6" w:space="0" w:color="auto"/>
              <w:bottom w:val="none" w:sz="0" w:space="0" w:color="auto"/>
            </w:tcBorders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 w:rsidRPr="00762AE2">
              <w:rPr>
                <w:b w:val="0"/>
                <w:bCs w:val="0"/>
                <w:lang w:eastAsia="es-ES"/>
              </w:rPr>
              <w:t>Aggregate beta-strand/beta-sheets (weak)</w:t>
            </w:r>
            <w:r w:rsidRPr="00762AE2">
              <w:rPr>
                <w:b w:val="0"/>
                <w:bCs w:val="0"/>
                <w:vertAlign w:val="superscript"/>
                <w:lang w:eastAsia="es-ES"/>
              </w:rPr>
              <w:t>a</w:t>
            </w:r>
          </w:p>
        </w:tc>
        <w:tc>
          <w:tcPr>
            <w:tcW w:w="3255" w:type="dxa"/>
            <w:tcBorders>
              <w:top w:val="single" w:sz="6" w:space="0" w:color="auto"/>
              <w:bottom w:val="none" w:sz="0" w:space="0" w:color="auto"/>
            </w:tcBorders>
            <w:noWrap/>
            <w:hideMark/>
          </w:tcPr>
          <w:p w:rsidR="00F7729E" w:rsidRPr="00644E13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s-ES"/>
              </w:rPr>
            </w:pPr>
            <w:r w:rsidRPr="00644E13">
              <w:rPr>
                <w:lang w:eastAsia="es-ES"/>
              </w:rPr>
              <w:t>1616-1621</w:t>
            </w:r>
          </w:p>
        </w:tc>
      </w:tr>
      <w:tr w:rsidR="00F7729E" w:rsidRPr="009465C0" w:rsidTr="00F7729E">
        <w:trPr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noWrap/>
            <w:hideMark/>
          </w:tcPr>
          <w:p w:rsidR="00F7729E" w:rsidRPr="00644E13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>
              <w:rPr>
                <w:b w:val="0"/>
                <w:bCs w:val="0"/>
                <w:lang w:eastAsia="es-ES"/>
              </w:rPr>
              <w:t>β</w:t>
            </w:r>
            <w:r w:rsidRPr="00644E13">
              <w:rPr>
                <w:b w:val="0"/>
                <w:bCs w:val="0"/>
                <w:lang w:eastAsia="es-ES"/>
              </w:rPr>
              <w:t>-Sheet (Strong)</w:t>
            </w:r>
            <w:r w:rsidRPr="00644E13">
              <w:rPr>
                <w:b w:val="0"/>
                <w:bCs w:val="0"/>
                <w:vertAlign w:val="superscript"/>
                <w:lang w:eastAsia="es-ES"/>
              </w:rPr>
              <w:t>a</w:t>
            </w:r>
          </w:p>
        </w:tc>
        <w:tc>
          <w:tcPr>
            <w:tcW w:w="3255" w:type="dxa"/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s-ES"/>
              </w:rPr>
            </w:pPr>
            <w:r w:rsidRPr="00644E13">
              <w:rPr>
                <w:lang w:eastAsia="es-ES"/>
              </w:rPr>
              <w:t>162</w:t>
            </w:r>
            <w:r w:rsidRPr="009465C0">
              <w:rPr>
                <w:lang w:eastAsia="es-ES"/>
              </w:rPr>
              <w:t>2-1627</w:t>
            </w:r>
          </w:p>
        </w:tc>
      </w:tr>
      <w:tr w:rsidR="00F7729E" w:rsidRPr="009465C0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>
              <w:rPr>
                <w:b w:val="0"/>
                <w:bCs w:val="0"/>
                <w:lang w:eastAsia="es-ES"/>
              </w:rPr>
              <w:t>β</w:t>
            </w:r>
            <w:r w:rsidRPr="00762AE2">
              <w:rPr>
                <w:b w:val="0"/>
                <w:bCs w:val="0"/>
                <w:lang w:eastAsia="es-ES"/>
              </w:rPr>
              <w:t>-Sheet (Strong)</w:t>
            </w:r>
            <w:r w:rsidRPr="00762AE2">
              <w:rPr>
                <w:b w:val="0"/>
                <w:bCs w:val="0"/>
                <w:vertAlign w:val="superscript"/>
                <w:lang w:eastAsia="es-ES"/>
              </w:rPr>
              <w:t>b</w:t>
            </w:r>
          </w:p>
        </w:tc>
        <w:tc>
          <w:tcPr>
            <w:tcW w:w="325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s-ES"/>
              </w:rPr>
            </w:pPr>
            <w:r w:rsidRPr="009465C0">
              <w:rPr>
                <w:lang w:eastAsia="es-ES"/>
              </w:rPr>
              <w:t>1628-1637</w:t>
            </w:r>
          </w:p>
        </w:tc>
      </w:tr>
      <w:tr w:rsidR="00F7729E" w:rsidRPr="009465C0" w:rsidTr="00F7729E">
        <w:trPr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 w:rsidRPr="00762AE2">
              <w:rPr>
                <w:b w:val="0"/>
                <w:bCs w:val="0"/>
                <w:lang w:eastAsia="es-ES"/>
              </w:rPr>
              <w:t>Random coil/extended chains</w:t>
            </w:r>
          </w:p>
        </w:tc>
        <w:tc>
          <w:tcPr>
            <w:tcW w:w="3255" w:type="dxa"/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s-ES"/>
              </w:rPr>
            </w:pPr>
            <w:r w:rsidRPr="009465C0">
              <w:rPr>
                <w:lang w:eastAsia="es-ES"/>
              </w:rPr>
              <w:t>1638-1646</w:t>
            </w:r>
          </w:p>
        </w:tc>
      </w:tr>
      <w:tr w:rsidR="00F7729E" w:rsidRPr="009465C0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 w:rsidRPr="00762AE2">
              <w:rPr>
                <w:b w:val="0"/>
                <w:bCs w:val="0"/>
                <w:lang w:eastAsia="es-ES"/>
              </w:rPr>
              <w:t>Random coil</w:t>
            </w:r>
          </w:p>
        </w:tc>
        <w:tc>
          <w:tcPr>
            <w:tcW w:w="325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s-ES"/>
              </w:rPr>
            </w:pPr>
            <w:r w:rsidRPr="009465C0">
              <w:rPr>
                <w:lang w:eastAsia="es-ES"/>
              </w:rPr>
              <w:t>1647-1655</w:t>
            </w:r>
          </w:p>
        </w:tc>
      </w:tr>
      <w:tr w:rsidR="00F7729E" w:rsidRPr="009465C0" w:rsidTr="00F7729E">
        <w:trPr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>
              <w:rPr>
                <w:b w:val="0"/>
                <w:bCs w:val="0"/>
                <w:lang w:eastAsia="es-ES"/>
              </w:rPr>
              <w:t>α-</w:t>
            </w:r>
            <w:r w:rsidRPr="00762AE2">
              <w:rPr>
                <w:b w:val="0"/>
                <w:bCs w:val="0"/>
                <w:lang w:eastAsia="es-ES"/>
              </w:rPr>
              <w:t>Helix</w:t>
            </w:r>
          </w:p>
        </w:tc>
        <w:tc>
          <w:tcPr>
            <w:tcW w:w="3255" w:type="dxa"/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s-ES"/>
              </w:rPr>
            </w:pPr>
            <w:r w:rsidRPr="009465C0">
              <w:rPr>
                <w:lang w:eastAsia="es-ES"/>
              </w:rPr>
              <w:t>1656-1662</w:t>
            </w:r>
          </w:p>
        </w:tc>
      </w:tr>
      <w:tr w:rsidR="00F7729E" w:rsidRPr="009465C0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 w:rsidRPr="00762AE2">
              <w:rPr>
                <w:b w:val="0"/>
                <w:bCs w:val="0"/>
                <w:lang w:eastAsia="es-ES"/>
              </w:rPr>
              <w:t>Turns</w:t>
            </w:r>
          </w:p>
        </w:tc>
        <w:tc>
          <w:tcPr>
            <w:tcW w:w="325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s-ES"/>
              </w:rPr>
            </w:pPr>
            <w:r w:rsidRPr="009465C0">
              <w:rPr>
                <w:lang w:eastAsia="es-ES"/>
              </w:rPr>
              <w:t>1663-1670</w:t>
            </w:r>
          </w:p>
        </w:tc>
      </w:tr>
      <w:tr w:rsidR="00F7729E" w:rsidRPr="009465C0" w:rsidTr="00F7729E">
        <w:trPr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 w:rsidRPr="00762AE2">
              <w:rPr>
                <w:b w:val="0"/>
                <w:bCs w:val="0"/>
                <w:lang w:eastAsia="es-ES"/>
              </w:rPr>
              <w:t>Turns</w:t>
            </w:r>
          </w:p>
        </w:tc>
        <w:tc>
          <w:tcPr>
            <w:tcW w:w="3255" w:type="dxa"/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s-ES"/>
              </w:rPr>
            </w:pPr>
            <w:r w:rsidRPr="009465C0">
              <w:rPr>
                <w:lang w:eastAsia="es-ES"/>
              </w:rPr>
              <w:t>1671-1685</w:t>
            </w:r>
          </w:p>
        </w:tc>
      </w:tr>
      <w:tr w:rsidR="00F7729E" w:rsidRPr="009465C0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 w:rsidRPr="00762AE2">
              <w:rPr>
                <w:b w:val="0"/>
                <w:bCs w:val="0"/>
                <w:lang w:eastAsia="es-ES"/>
              </w:rPr>
              <w:t>Turns</w:t>
            </w:r>
          </w:p>
        </w:tc>
        <w:tc>
          <w:tcPr>
            <w:tcW w:w="325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s-ES"/>
              </w:rPr>
            </w:pPr>
            <w:r w:rsidRPr="009465C0">
              <w:rPr>
                <w:lang w:eastAsia="es-ES"/>
              </w:rPr>
              <w:t>1686-1696</w:t>
            </w:r>
          </w:p>
        </w:tc>
      </w:tr>
      <w:tr w:rsidR="00F7729E" w:rsidRPr="009465C0" w:rsidTr="00F7729E">
        <w:trPr>
          <w:trHeight w:val="3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5" w:type="dxa"/>
            <w:tcBorders>
              <w:bottom w:val="single" w:sz="12" w:space="0" w:color="auto"/>
            </w:tcBorders>
            <w:noWrap/>
            <w:hideMark/>
          </w:tcPr>
          <w:p w:rsidR="00F7729E" w:rsidRPr="00762AE2" w:rsidRDefault="00F7729E" w:rsidP="00F7729E">
            <w:pPr>
              <w:pStyle w:val="MDPI42tablebody"/>
              <w:rPr>
                <w:b w:val="0"/>
                <w:bCs w:val="0"/>
                <w:lang w:eastAsia="es-ES"/>
              </w:rPr>
            </w:pPr>
            <w:r>
              <w:rPr>
                <w:b w:val="0"/>
                <w:bCs w:val="0"/>
                <w:lang w:eastAsia="es-ES"/>
              </w:rPr>
              <w:t>β</w:t>
            </w:r>
            <w:r w:rsidRPr="00762AE2">
              <w:rPr>
                <w:b w:val="0"/>
                <w:bCs w:val="0"/>
                <w:lang w:eastAsia="es-ES"/>
              </w:rPr>
              <w:t>-Sheets (weak)a</w:t>
            </w:r>
          </w:p>
        </w:tc>
        <w:tc>
          <w:tcPr>
            <w:tcW w:w="3255" w:type="dxa"/>
            <w:tcBorders>
              <w:bottom w:val="single" w:sz="12" w:space="0" w:color="auto"/>
            </w:tcBorders>
            <w:noWrap/>
            <w:hideMark/>
          </w:tcPr>
          <w:p w:rsidR="00F7729E" w:rsidRPr="009465C0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s-ES"/>
              </w:rPr>
            </w:pPr>
            <w:r w:rsidRPr="009465C0">
              <w:rPr>
                <w:lang w:eastAsia="es-ES"/>
              </w:rPr>
              <w:t>1697-1703</w:t>
            </w:r>
          </w:p>
        </w:tc>
      </w:tr>
    </w:tbl>
    <w:p w:rsidR="00F7729E" w:rsidRDefault="00F7729E" w:rsidP="00F7729E">
      <w:pPr>
        <w:pStyle w:val="MDPI43tablefooter"/>
        <w:rPr>
          <w:u w:val="single"/>
        </w:rPr>
      </w:pPr>
      <w:proofErr w:type="spellStart"/>
      <w:proofErr w:type="gramStart"/>
      <w:r w:rsidRPr="00762AE2">
        <w:rPr>
          <w:vertAlign w:val="superscript"/>
          <w:lang w:eastAsia="es-ES"/>
        </w:rPr>
        <w:t>a</w:t>
      </w:r>
      <w:proofErr w:type="spellEnd"/>
      <w:proofErr w:type="gramEnd"/>
      <w:r w:rsidRPr="00762AE2">
        <w:rPr>
          <w:lang w:eastAsia="es-ES"/>
        </w:rPr>
        <w:t xml:space="preserve"> Intermolecular </w:t>
      </w:r>
      <w:r>
        <w:rPr>
          <w:lang w:eastAsia="es-ES"/>
        </w:rPr>
        <w:t>β</w:t>
      </w:r>
      <w:r w:rsidRPr="00762AE2">
        <w:rPr>
          <w:lang w:eastAsia="es-ES"/>
        </w:rPr>
        <w:t>-Sheet</w:t>
      </w:r>
    </w:p>
    <w:p w:rsidR="00F7729E" w:rsidRPr="00762AE2" w:rsidRDefault="00F7729E" w:rsidP="00F7729E">
      <w:pPr>
        <w:pStyle w:val="MDPI43tablefooter"/>
        <w:rPr>
          <w:b/>
          <w:bCs/>
          <w:lang w:eastAsia="es-ES"/>
        </w:rPr>
      </w:pPr>
      <w:r w:rsidRPr="00762AE2">
        <w:rPr>
          <w:vertAlign w:val="superscript"/>
          <w:lang w:eastAsia="es-ES"/>
        </w:rPr>
        <w:t>b</w:t>
      </w:r>
      <w:r>
        <w:rPr>
          <w:lang w:eastAsia="es-ES"/>
        </w:rPr>
        <w:t xml:space="preserve"> I</w:t>
      </w:r>
      <w:r w:rsidRPr="00762AE2">
        <w:rPr>
          <w:lang w:eastAsia="es-ES"/>
        </w:rPr>
        <w:t xml:space="preserve">ntramolecular </w:t>
      </w:r>
      <w:r>
        <w:rPr>
          <w:lang w:eastAsia="es-ES"/>
        </w:rPr>
        <w:t>β</w:t>
      </w:r>
      <w:r w:rsidRPr="00762AE2">
        <w:rPr>
          <w:lang w:eastAsia="es-ES"/>
        </w:rPr>
        <w:t>-Sheets</w:t>
      </w:r>
    </w:p>
    <w:p w:rsidR="00F7729E" w:rsidRDefault="00F7729E" w:rsidP="00F7729E">
      <w:pPr>
        <w:ind w:left="708"/>
        <w:rPr>
          <w:u w:val="single"/>
        </w:rPr>
      </w:pPr>
    </w:p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Pr="00DE0B8E" w:rsidRDefault="00F7729E" w:rsidP="00F7729E"/>
    <w:p w:rsidR="00F7729E" w:rsidRDefault="00F7729E" w:rsidP="00F7729E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 wp14:anchorId="5C93892A" wp14:editId="2301ECF2">
            <wp:extent cx="5400040" cy="32791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7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9E" w:rsidRPr="00DB759A" w:rsidRDefault="00F7729E" w:rsidP="00F7729E">
      <w:pPr>
        <w:pStyle w:val="MDPI51figurecaption"/>
      </w:pPr>
      <w:r w:rsidRPr="00F03A75">
        <w:rPr>
          <w:b/>
        </w:rPr>
        <w:t>Figure S2.</w:t>
      </w:r>
      <w:r w:rsidRPr="00DB759A">
        <w:t xml:space="preserve"> FSD of Amide I absorption band and example of band fitting.</w:t>
      </w:r>
    </w:p>
    <w:p w:rsidR="00F7729E" w:rsidRPr="00A65D52" w:rsidRDefault="00F7729E" w:rsidP="00F7729E"/>
    <w:p w:rsidR="00F7729E" w:rsidRPr="00265E31" w:rsidRDefault="00F7729E" w:rsidP="00F7729E">
      <w:pPr>
        <w:rPr>
          <w:rFonts w:eastAsia="Calibri"/>
        </w:rPr>
      </w:pPr>
    </w:p>
    <w:p w:rsidR="00F7729E" w:rsidRPr="00265E31" w:rsidRDefault="00F7729E" w:rsidP="00F7729E">
      <w:pPr>
        <w:rPr>
          <w:rFonts w:eastAsia="Calibri"/>
        </w:rPr>
      </w:pPr>
    </w:p>
    <w:p w:rsidR="00F7729E" w:rsidRPr="00F03A75" w:rsidRDefault="00F7729E" w:rsidP="00F7729E">
      <w:pPr>
        <w:rPr>
          <w:b/>
        </w:rPr>
      </w:pPr>
    </w:p>
    <w:p w:rsidR="00F7729E" w:rsidRPr="0060030D" w:rsidRDefault="00F7729E" w:rsidP="00F7729E">
      <w:pPr>
        <w:pStyle w:val="MDPI41tablecaption"/>
        <w:rPr>
          <w:i/>
        </w:rPr>
      </w:pPr>
      <w:r w:rsidRPr="00265E31">
        <w:rPr>
          <w:u w:val="single"/>
        </w:rPr>
        <w:br w:type="page"/>
      </w:r>
      <w:r w:rsidRPr="0060030D">
        <w:rPr>
          <w:b/>
        </w:rPr>
        <w:lastRenderedPageBreak/>
        <w:t>Table S</w:t>
      </w:r>
      <w:r>
        <w:rPr>
          <w:b/>
        </w:rPr>
        <w:t>2</w:t>
      </w:r>
      <w:r w:rsidRPr="0060030D">
        <w:t xml:space="preserve">. </w:t>
      </w:r>
      <w:r>
        <w:t>List of p</w:t>
      </w:r>
      <w:r w:rsidRPr="0060030D">
        <w:t xml:space="preserve">arameters used to calculate the </w:t>
      </w:r>
      <w:r w:rsidRPr="0060030D">
        <w:rPr>
          <w:rFonts w:cs="AdvTimes"/>
        </w:rPr>
        <w:t>surface charge density</w:t>
      </w:r>
    </w:p>
    <w:tbl>
      <w:tblPr>
        <w:tblStyle w:val="Tablaconcuadrcula"/>
        <w:tblW w:w="7920" w:type="dxa"/>
        <w:jc w:val="center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1"/>
        <w:gridCol w:w="1593"/>
        <w:gridCol w:w="1756"/>
      </w:tblGrid>
      <w:tr w:rsidR="00F7729E" w:rsidRPr="00D00415" w:rsidTr="00F7729E">
        <w:trPr>
          <w:trHeight w:val="355"/>
          <w:jc w:val="center"/>
        </w:trPr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Parameter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Value</w:t>
            </w:r>
          </w:p>
        </w:tc>
        <w:tc>
          <w:tcPr>
            <w:tcW w:w="1756" w:type="dxa"/>
            <w:tcBorders>
              <w:top w:val="single" w:sz="12" w:space="0" w:color="auto"/>
              <w:bottom w:val="single" w:sz="6" w:space="0" w:color="auto"/>
            </w:tcBorders>
          </w:tcPr>
          <w:p w:rsidR="00F7729E" w:rsidRPr="00D00415" w:rsidRDefault="00F7729E" w:rsidP="00F7729E">
            <w:pPr>
              <w:pStyle w:val="MDPI42tablebody"/>
            </w:pPr>
            <w:r w:rsidRPr="00D00415">
              <w:t>Units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tcBorders>
              <w:top w:val="single" w:sz="6" w:space="0" w:color="auto"/>
            </w:tcBorders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Relative permittivity</w:t>
            </w:r>
            <w:r w:rsidRPr="00D00415">
              <w:t xml:space="preserve"> 25</w:t>
            </w:r>
            <w:r w:rsidRPr="00D00415">
              <w:rPr>
                <w:vertAlign w:val="superscript"/>
              </w:rPr>
              <w:t>o</w:t>
            </w:r>
            <w:r w:rsidRPr="00D00415">
              <w:t xml:space="preserve">C, </w:t>
            </w:r>
            <w:proofErr w:type="spellStart"/>
            <w:r w:rsidRPr="00D00415">
              <w:rPr>
                <w:rFonts w:ascii="Cambria" w:hAnsi="Cambria" w:cs="Cambria"/>
                <w:i/>
              </w:rPr>
              <w:t>Ɛ</w:t>
            </w:r>
            <w:r w:rsidRPr="00D00415">
              <w:rPr>
                <w:i/>
                <w:vertAlign w:val="subscript"/>
              </w:rPr>
              <w:t>r</w:t>
            </w:r>
            <w:proofErr w:type="spellEnd"/>
            <w:r w:rsidRPr="00D00415"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78,30</w:t>
            </w:r>
          </w:p>
        </w:tc>
        <w:tc>
          <w:tcPr>
            <w:tcW w:w="1756" w:type="dxa"/>
            <w:tcBorders>
              <w:top w:val="single" w:sz="6" w:space="0" w:color="auto"/>
            </w:tcBorders>
          </w:tcPr>
          <w:p w:rsidR="00F7729E" w:rsidRPr="00D00415" w:rsidRDefault="00F7729E" w:rsidP="00F7729E">
            <w:pPr>
              <w:pStyle w:val="MDPI42tablebody"/>
            </w:pPr>
            <w:proofErr w:type="spellStart"/>
            <w:r w:rsidRPr="00D00415">
              <w:rPr>
                <w:i/>
                <w:iCs/>
              </w:rPr>
              <w:t>adim</w:t>
            </w:r>
            <w:proofErr w:type="spellEnd"/>
            <w:r w:rsidRPr="00D00415">
              <w:rPr>
                <w:i/>
                <w:iCs/>
              </w:rPr>
              <w:t>.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Permittivity of a vacuum,</w:t>
            </w:r>
            <w:r w:rsidRPr="00D00415">
              <w:t xml:space="preserve"> </w:t>
            </w:r>
            <w:r w:rsidRPr="00D00415">
              <w:rPr>
                <w:rFonts w:ascii="Cambria" w:hAnsi="Cambria" w:cs="Cambria"/>
                <w:i/>
              </w:rPr>
              <w:t>Ɛ</w:t>
            </w:r>
            <w:r w:rsidRPr="00D00415">
              <w:rPr>
                <w:i/>
                <w:vertAlign w:val="subscript"/>
              </w:rPr>
              <w:t>0</w:t>
            </w:r>
            <w:r w:rsidRPr="00D00415">
              <w:t xml:space="preserve">  </w:t>
            </w:r>
          </w:p>
        </w:tc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8,85E-12</w:t>
            </w:r>
          </w:p>
        </w:tc>
        <w:tc>
          <w:tcPr>
            <w:tcW w:w="1756" w:type="dxa"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i/>
                <w:iCs/>
              </w:rPr>
              <w:t>C</w:t>
            </w:r>
            <w:r w:rsidRPr="00D00415">
              <w:rPr>
                <w:i/>
                <w:iCs/>
                <w:vertAlign w:val="superscript"/>
              </w:rPr>
              <w:t>2</w:t>
            </w:r>
            <w:r w:rsidRPr="00D00415">
              <w:rPr>
                <w:i/>
                <w:iCs/>
              </w:rPr>
              <w:t>/(</w:t>
            </w:r>
            <w:proofErr w:type="spellStart"/>
            <w:r w:rsidRPr="00D00415">
              <w:rPr>
                <w:i/>
                <w:iCs/>
              </w:rPr>
              <w:t>J·m</w:t>
            </w:r>
            <w:proofErr w:type="spellEnd"/>
            <w:r w:rsidRPr="00D00415">
              <w:rPr>
                <w:i/>
                <w:iCs/>
              </w:rPr>
              <w:t>)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Permittivity</w:t>
            </w:r>
            <w:r w:rsidRPr="00D00415">
              <w:t xml:space="preserve">, </w:t>
            </w:r>
            <w:r w:rsidRPr="00D00415">
              <w:rPr>
                <w:rFonts w:ascii="Cambria" w:hAnsi="Cambria" w:cs="Cambria"/>
                <w:i/>
              </w:rPr>
              <w:t>Ɛ</w:t>
            </w:r>
          </w:p>
        </w:tc>
        <w:tc>
          <w:tcPr>
            <w:tcW w:w="0" w:type="auto"/>
            <w:noWrap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6,93E-10</w:t>
            </w:r>
          </w:p>
        </w:tc>
        <w:tc>
          <w:tcPr>
            <w:tcW w:w="1756" w:type="dxa"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i/>
                <w:iCs/>
              </w:rPr>
              <w:t>C</w:t>
            </w:r>
            <w:r w:rsidRPr="00D00415">
              <w:rPr>
                <w:i/>
                <w:iCs/>
                <w:vertAlign w:val="superscript"/>
              </w:rPr>
              <w:t>2</w:t>
            </w:r>
            <w:r w:rsidRPr="00D00415">
              <w:rPr>
                <w:i/>
                <w:iCs/>
              </w:rPr>
              <w:t>/(</w:t>
            </w:r>
            <w:proofErr w:type="spellStart"/>
            <w:r w:rsidRPr="00D00415">
              <w:rPr>
                <w:i/>
                <w:iCs/>
              </w:rPr>
              <w:t>J·m</w:t>
            </w:r>
            <w:proofErr w:type="spellEnd"/>
            <w:r w:rsidRPr="00D00415">
              <w:rPr>
                <w:i/>
                <w:iCs/>
              </w:rPr>
              <w:t>)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Boltzmann constant</w:t>
            </w:r>
            <w:r w:rsidRPr="00D00415">
              <w:t xml:space="preserve">, </w:t>
            </w:r>
            <w:r w:rsidRPr="00D00415">
              <w:rPr>
                <w:i/>
              </w:rPr>
              <w:t>k</w:t>
            </w:r>
          </w:p>
        </w:tc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1,38E-23</w:t>
            </w:r>
          </w:p>
        </w:tc>
        <w:tc>
          <w:tcPr>
            <w:tcW w:w="1756" w:type="dxa"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i/>
                <w:iCs/>
              </w:rPr>
              <w:t>J/K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Avogadro’s number</w:t>
            </w:r>
            <w:r w:rsidRPr="00D00415">
              <w:t xml:space="preserve">, </w:t>
            </w:r>
            <w:r w:rsidRPr="00D00415">
              <w:rPr>
                <w:i/>
              </w:rPr>
              <w:t>N</w:t>
            </w:r>
            <w:r w:rsidRPr="00D00415">
              <w:rPr>
                <w:i/>
                <w:vertAlign w:val="subscript"/>
              </w:rPr>
              <w:t>A</w:t>
            </w:r>
          </w:p>
        </w:tc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6,02E+23</w:t>
            </w:r>
          </w:p>
        </w:tc>
        <w:tc>
          <w:tcPr>
            <w:tcW w:w="1756" w:type="dxa"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i/>
                <w:iCs/>
              </w:rPr>
              <w:t>mol</w:t>
            </w:r>
            <w:r w:rsidRPr="00D00415">
              <w:rPr>
                <w:i/>
                <w:iCs/>
                <w:vertAlign w:val="superscript"/>
              </w:rPr>
              <w:t>-1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Elementary electric charge</w:t>
            </w:r>
            <w:r w:rsidRPr="00D00415">
              <w:t>, e</w:t>
            </w:r>
          </w:p>
        </w:tc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1,60E-19</w:t>
            </w:r>
          </w:p>
        </w:tc>
        <w:tc>
          <w:tcPr>
            <w:tcW w:w="1756" w:type="dxa"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i/>
                <w:iCs/>
              </w:rPr>
              <w:t>C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 xml:space="preserve">Temperature, </w:t>
            </w:r>
            <w:r w:rsidRPr="00D00415">
              <w:rPr>
                <w:i/>
              </w:rPr>
              <w:t>T</w:t>
            </w:r>
            <w:r w:rsidRPr="00D00415">
              <w:t xml:space="preserve"> </w:t>
            </w:r>
          </w:p>
        </w:tc>
        <w:tc>
          <w:tcPr>
            <w:tcW w:w="0" w:type="auto"/>
            <w:noWrap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 xml:space="preserve"> 298,15   </w:t>
            </w:r>
          </w:p>
        </w:tc>
        <w:tc>
          <w:tcPr>
            <w:tcW w:w="1756" w:type="dxa"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i/>
                <w:iCs/>
              </w:rPr>
              <w:t>K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Ionic strength</w:t>
            </w:r>
            <w:r w:rsidRPr="00D00415">
              <w:t xml:space="preserve">, </w:t>
            </w:r>
            <w:r w:rsidRPr="00D00415">
              <w:rPr>
                <w:i/>
              </w:rPr>
              <w:t>I</w:t>
            </w:r>
          </w:p>
        </w:tc>
        <w:tc>
          <w:tcPr>
            <w:tcW w:w="0" w:type="auto"/>
            <w:noWrap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1,00E-03</w:t>
            </w:r>
          </w:p>
        </w:tc>
        <w:tc>
          <w:tcPr>
            <w:tcW w:w="1756" w:type="dxa"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i/>
                <w:iCs/>
              </w:rPr>
              <w:t>M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Debye</w:t>
            </w:r>
            <w:r w:rsidRPr="00D00415">
              <w:rPr>
                <w:rFonts w:cs="AdvChemBats2"/>
              </w:rPr>
              <w:t>-</w:t>
            </w:r>
            <w:proofErr w:type="spellStart"/>
            <w:r w:rsidRPr="00D00415">
              <w:rPr>
                <w:rFonts w:cs="AdvTimes"/>
              </w:rPr>
              <w:t>H</w:t>
            </w:r>
            <w:r w:rsidRPr="00D00415">
              <w:rPr>
                <w:rFonts w:cs="AdvP4C4E59"/>
              </w:rPr>
              <w:t>ü</w:t>
            </w:r>
            <w:r w:rsidRPr="00D00415">
              <w:rPr>
                <w:rFonts w:cs="AdvTimes"/>
              </w:rPr>
              <w:t>uckel</w:t>
            </w:r>
            <w:proofErr w:type="spellEnd"/>
            <w:r w:rsidRPr="00D00415">
              <w:rPr>
                <w:rFonts w:cs="AdvTimes"/>
              </w:rPr>
              <w:t xml:space="preserve"> parameter</w:t>
            </w:r>
            <w:r w:rsidRPr="00D00415">
              <w:t>,</w:t>
            </w:r>
            <w:r w:rsidRPr="00D00415">
              <w:rPr>
                <w:i/>
              </w:rPr>
              <w:t xml:space="preserve"> </w:t>
            </w:r>
            <m:oMath>
              <m:r>
                <w:rPr>
                  <w:rFonts w:ascii="Cambria Math" w:eastAsia="Calibri" w:hAnsi="Cambria Math"/>
                </w:rPr>
                <m:t>κ</m:t>
              </m:r>
            </m:oMath>
          </w:p>
        </w:tc>
        <w:tc>
          <w:tcPr>
            <w:tcW w:w="0" w:type="auto"/>
            <w:noWrap/>
            <w:hideMark/>
          </w:tcPr>
          <w:p w:rsidR="00F7729E" w:rsidRPr="00D00415" w:rsidRDefault="00F7729E" w:rsidP="00F7729E">
            <w:pPr>
              <w:pStyle w:val="MDPI42tablebody"/>
            </w:pPr>
            <w:r w:rsidRPr="00D00415">
              <w:t>1,04E+08</w:t>
            </w:r>
          </w:p>
        </w:tc>
        <w:tc>
          <w:tcPr>
            <w:tcW w:w="1756" w:type="dxa"/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i/>
                <w:iCs/>
              </w:rPr>
              <w:t>m</w:t>
            </w:r>
            <w:r w:rsidRPr="00D00415">
              <w:rPr>
                <w:i/>
                <w:iCs/>
                <w:vertAlign w:val="superscript"/>
              </w:rPr>
              <w:t>-1</w:t>
            </w:r>
          </w:p>
        </w:tc>
      </w:tr>
      <w:tr w:rsidR="00F7729E" w:rsidRPr="00D00415" w:rsidTr="00F7729E">
        <w:trPr>
          <w:trHeight w:val="355"/>
          <w:jc w:val="center"/>
        </w:trPr>
        <w:tc>
          <w:tcPr>
            <w:tcW w:w="0" w:type="auto"/>
            <w:tcBorders>
              <w:bottom w:val="single" w:sz="12" w:space="0" w:color="auto"/>
            </w:tcBorders>
          </w:tcPr>
          <w:p w:rsidR="00F7729E" w:rsidRPr="00D00415" w:rsidRDefault="00F7729E" w:rsidP="00F7729E">
            <w:pPr>
              <w:pStyle w:val="MDPI42tablebody"/>
            </w:pPr>
            <w:r w:rsidRPr="00D00415">
              <w:rPr>
                <w:rFonts w:cs="AdvTimes"/>
              </w:rPr>
              <w:t>Electrolyte valence</w:t>
            </w:r>
            <w:r w:rsidRPr="00D00415">
              <w:t xml:space="preserve">, </w:t>
            </w:r>
            <w:r w:rsidRPr="00D00415">
              <w:rPr>
                <w:i/>
              </w:rPr>
              <w:t xml:space="preserve">z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noWrap/>
          </w:tcPr>
          <w:p w:rsidR="00F7729E" w:rsidRPr="00D00415" w:rsidRDefault="00F7729E" w:rsidP="00F7729E">
            <w:pPr>
              <w:pStyle w:val="MDPI42tablebody"/>
            </w:pPr>
            <w:r w:rsidRPr="00D00415">
              <w:t>1</w:t>
            </w:r>
          </w:p>
        </w:tc>
        <w:tc>
          <w:tcPr>
            <w:tcW w:w="1756" w:type="dxa"/>
            <w:tcBorders>
              <w:bottom w:val="single" w:sz="12" w:space="0" w:color="auto"/>
            </w:tcBorders>
          </w:tcPr>
          <w:p w:rsidR="00F7729E" w:rsidRPr="00D00415" w:rsidRDefault="00F7729E" w:rsidP="00F7729E">
            <w:pPr>
              <w:pStyle w:val="MDPI42tablebody"/>
            </w:pPr>
            <w:proofErr w:type="spellStart"/>
            <w:r w:rsidRPr="00D00415">
              <w:rPr>
                <w:i/>
                <w:iCs/>
              </w:rPr>
              <w:t>adim</w:t>
            </w:r>
            <w:proofErr w:type="spellEnd"/>
            <w:r w:rsidRPr="00D00415">
              <w:rPr>
                <w:i/>
                <w:iCs/>
              </w:rPr>
              <w:t>.</w:t>
            </w:r>
          </w:p>
        </w:tc>
      </w:tr>
    </w:tbl>
    <w:p w:rsidR="00F7729E" w:rsidRDefault="00F7729E" w:rsidP="00F7729E">
      <w:pPr>
        <w:rPr>
          <w:u w:val="single"/>
        </w:rPr>
      </w:pPr>
    </w:p>
    <w:p w:rsidR="00F7729E" w:rsidRDefault="00F7729E" w:rsidP="00F7729E">
      <w:pPr>
        <w:pStyle w:val="Subttulo"/>
      </w:pPr>
    </w:p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Pr="0060030D" w:rsidRDefault="00F7729E" w:rsidP="00F7729E"/>
    <w:p w:rsidR="00F7729E" w:rsidRPr="0060030D" w:rsidRDefault="00F7729E" w:rsidP="00F7729E"/>
    <w:p w:rsidR="00F7729E" w:rsidRPr="0060030D" w:rsidRDefault="00F7729E" w:rsidP="00F7729E">
      <w:pPr>
        <w:pStyle w:val="MDPI41tablecaption"/>
      </w:pPr>
      <w:r w:rsidRPr="00057F1D">
        <w:rPr>
          <w:b/>
        </w:rPr>
        <w:lastRenderedPageBreak/>
        <w:t>Table S3.</w:t>
      </w:r>
      <w:r w:rsidRPr="0060030D">
        <w:t xml:space="preserve"> Degumming efficiency expressed in terms of mass loss and Crystallinity index (CI) of SF samples: D1) Autoclave, D2) Na</w:t>
      </w:r>
      <w:r w:rsidRPr="0060030D">
        <w:rPr>
          <w:vertAlign w:val="subscript"/>
        </w:rPr>
        <w:t>2</w:t>
      </w:r>
      <w:r w:rsidRPr="0060030D">
        <w:t>CO</w:t>
      </w:r>
      <w:r w:rsidRPr="0060030D">
        <w:rPr>
          <w:vertAlign w:val="subscript"/>
        </w:rPr>
        <w:t>3</w:t>
      </w:r>
      <w:r w:rsidRPr="0060030D">
        <w:t xml:space="preserve"> 30´, D3) Na</w:t>
      </w:r>
      <w:r w:rsidRPr="0060030D">
        <w:rPr>
          <w:vertAlign w:val="subscript"/>
        </w:rPr>
        <w:t>2</w:t>
      </w:r>
      <w:r w:rsidRPr="0060030D">
        <w:t>CO</w:t>
      </w:r>
      <w:r w:rsidRPr="0060030D">
        <w:rPr>
          <w:vertAlign w:val="subscript"/>
        </w:rPr>
        <w:t>3</w:t>
      </w:r>
      <w:r w:rsidRPr="0060030D">
        <w:t xml:space="preserve"> 120´ and D4) Ultrasounds.</w:t>
      </w:r>
    </w:p>
    <w:tbl>
      <w:tblPr>
        <w:tblStyle w:val="Tabladelista6concolores"/>
        <w:tblW w:w="3687" w:type="pct"/>
        <w:jc w:val="center"/>
        <w:tblLook w:val="04A0" w:firstRow="1" w:lastRow="0" w:firstColumn="1" w:lastColumn="0" w:noHBand="0" w:noVBand="1"/>
      </w:tblPr>
      <w:tblGrid>
        <w:gridCol w:w="2175"/>
        <w:gridCol w:w="2174"/>
        <w:gridCol w:w="2173"/>
      </w:tblGrid>
      <w:tr w:rsidR="00F7729E" w:rsidRPr="0060030D" w:rsidTr="00F77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tcBorders>
              <w:bottom w:val="single" w:sz="12" w:space="0" w:color="auto"/>
            </w:tcBorders>
          </w:tcPr>
          <w:p w:rsidR="00F7729E" w:rsidRPr="0060030D" w:rsidRDefault="00F7729E" w:rsidP="00F7729E">
            <w:pPr>
              <w:pStyle w:val="MDPI42tablebody"/>
            </w:pPr>
            <w:r w:rsidRPr="0060030D">
              <w:t>Sample</w:t>
            </w:r>
          </w:p>
        </w:tc>
        <w:tc>
          <w:tcPr>
            <w:tcW w:w="1667" w:type="pct"/>
            <w:tcBorders>
              <w:bottom w:val="single" w:sz="12" w:space="0" w:color="auto"/>
            </w:tcBorders>
          </w:tcPr>
          <w:p w:rsidR="00F7729E" w:rsidRPr="0060030D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0030D">
              <w:t>Mass loss (wt. %)</w:t>
            </w:r>
            <w:r w:rsidRPr="0060030D">
              <w:rPr>
                <w:vertAlign w:val="superscript"/>
              </w:rPr>
              <w:t>a</w:t>
            </w:r>
          </w:p>
        </w:tc>
        <w:tc>
          <w:tcPr>
            <w:tcW w:w="1666" w:type="pct"/>
            <w:tcBorders>
              <w:bottom w:val="single" w:sz="12" w:space="0" w:color="auto"/>
            </w:tcBorders>
          </w:tcPr>
          <w:p w:rsidR="00F7729E" w:rsidRPr="0060030D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0030D">
              <w:t>CI (%)</w:t>
            </w:r>
            <w:r w:rsidRPr="0060030D">
              <w:rPr>
                <w:vertAlign w:val="superscript"/>
              </w:rPr>
              <w:t>a</w:t>
            </w:r>
          </w:p>
        </w:tc>
      </w:tr>
      <w:tr w:rsidR="00F7729E" w:rsidRPr="0060030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tcBorders>
              <w:top w:val="single" w:sz="12" w:space="0" w:color="auto"/>
            </w:tcBorders>
            <w:shd w:val="clear" w:color="auto" w:fill="auto"/>
          </w:tcPr>
          <w:p w:rsidR="00F7729E" w:rsidRPr="0060030D" w:rsidRDefault="00F7729E" w:rsidP="00F7729E">
            <w:pPr>
              <w:pStyle w:val="MDPI42tablebody"/>
            </w:pPr>
            <w:r w:rsidRPr="0060030D">
              <w:t>SF-D1</w:t>
            </w:r>
          </w:p>
        </w:tc>
        <w:tc>
          <w:tcPr>
            <w:tcW w:w="1667" w:type="pct"/>
            <w:tcBorders>
              <w:top w:val="single" w:sz="12" w:space="0" w:color="auto"/>
            </w:tcBorders>
            <w:shd w:val="clear" w:color="auto" w:fill="auto"/>
          </w:tcPr>
          <w:p w:rsidR="00F7729E" w:rsidRPr="0060030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030D">
              <w:t>31.3 ± 0.5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</w:tcPr>
          <w:p w:rsidR="00F7729E" w:rsidRPr="0060030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030D">
              <w:t>59 ± 2</w:t>
            </w:r>
          </w:p>
        </w:tc>
      </w:tr>
      <w:tr w:rsidR="00F7729E" w:rsidRPr="0060030D" w:rsidTr="00F7729E">
        <w:trPr>
          <w:trHeight w:val="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auto"/>
          </w:tcPr>
          <w:p w:rsidR="00F7729E" w:rsidRPr="0060030D" w:rsidRDefault="00F7729E" w:rsidP="00F7729E">
            <w:pPr>
              <w:pStyle w:val="MDPI42tablebody"/>
            </w:pPr>
            <w:r w:rsidRPr="0060030D">
              <w:t>SF-D2</w:t>
            </w:r>
          </w:p>
        </w:tc>
        <w:tc>
          <w:tcPr>
            <w:tcW w:w="1667" w:type="pct"/>
            <w:shd w:val="clear" w:color="auto" w:fill="auto"/>
          </w:tcPr>
          <w:p w:rsidR="00F7729E" w:rsidRPr="0060030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30D">
              <w:t>32.4 ± 0.8</w:t>
            </w:r>
          </w:p>
        </w:tc>
        <w:tc>
          <w:tcPr>
            <w:tcW w:w="1666" w:type="pct"/>
            <w:shd w:val="clear" w:color="auto" w:fill="auto"/>
          </w:tcPr>
          <w:p w:rsidR="00F7729E" w:rsidRPr="0060030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30D">
              <w:t>56 ± 3</w:t>
            </w:r>
          </w:p>
        </w:tc>
      </w:tr>
      <w:tr w:rsidR="00F7729E" w:rsidRPr="0060030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auto"/>
          </w:tcPr>
          <w:p w:rsidR="00F7729E" w:rsidRPr="0060030D" w:rsidRDefault="00F7729E" w:rsidP="00F7729E">
            <w:pPr>
              <w:pStyle w:val="MDPI42tablebody"/>
            </w:pPr>
            <w:r w:rsidRPr="0060030D">
              <w:t>SF-D3</w:t>
            </w:r>
          </w:p>
        </w:tc>
        <w:tc>
          <w:tcPr>
            <w:tcW w:w="1667" w:type="pct"/>
            <w:shd w:val="clear" w:color="auto" w:fill="auto"/>
          </w:tcPr>
          <w:p w:rsidR="00F7729E" w:rsidRPr="0060030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030D">
              <w:t>44.4 ± 1.0</w:t>
            </w:r>
          </w:p>
        </w:tc>
        <w:tc>
          <w:tcPr>
            <w:tcW w:w="1666" w:type="pct"/>
            <w:shd w:val="clear" w:color="auto" w:fill="auto"/>
          </w:tcPr>
          <w:p w:rsidR="00F7729E" w:rsidRPr="0060030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030D">
              <w:t>59 ± 2</w:t>
            </w:r>
          </w:p>
        </w:tc>
      </w:tr>
      <w:tr w:rsidR="00F7729E" w:rsidRPr="0060030D" w:rsidTr="00F7729E">
        <w:trPr>
          <w:trHeight w:val="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F7729E" w:rsidRPr="0060030D" w:rsidRDefault="00F7729E" w:rsidP="00F7729E">
            <w:pPr>
              <w:pStyle w:val="MDPI42tablebody"/>
            </w:pPr>
            <w:r w:rsidRPr="0060030D">
              <w:t>SF-D4</w:t>
            </w:r>
          </w:p>
        </w:tc>
        <w:tc>
          <w:tcPr>
            <w:tcW w:w="1667" w:type="pct"/>
          </w:tcPr>
          <w:p w:rsidR="00F7729E" w:rsidRPr="0060030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30D">
              <w:t>25.9 ± 1.2</w:t>
            </w:r>
          </w:p>
        </w:tc>
        <w:tc>
          <w:tcPr>
            <w:tcW w:w="1666" w:type="pct"/>
          </w:tcPr>
          <w:p w:rsidR="00F7729E" w:rsidRPr="0060030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030D">
              <w:t>52 ± 1</w:t>
            </w:r>
          </w:p>
        </w:tc>
      </w:tr>
    </w:tbl>
    <w:p w:rsidR="00F7729E" w:rsidRPr="0060030D" w:rsidRDefault="00F7729E" w:rsidP="00F7729E">
      <w:pPr>
        <w:pStyle w:val="MDPI43tablefooter"/>
      </w:pPr>
      <w:r>
        <w:rPr>
          <w:vertAlign w:val="superscript"/>
        </w:rPr>
        <w:t xml:space="preserve">                               </w:t>
      </w:r>
      <w:proofErr w:type="spellStart"/>
      <w:r w:rsidRPr="0060030D">
        <w:rPr>
          <w:vertAlign w:val="superscript"/>
        </w:rPr>
        <w:t>a</w:t>
      </w:r>
      <w:r w:rsidRPr="0060030D">
        <w:t>Results</w:t>
      </w:r>
      <w:proofErr w:type="spellEnd"/>
      <w:r w:rsidRPr="0060030D">
        <w:t xml:space="preserve"> are shown as mean ± standard deviation, </w:t>
      </w:r>
      <w:r w:rsidRPr="0060030D">
        <w:rPr>
          <w:i/>
        </w:rPr>
        <w:t>n</w:t>
      </w:r>
      <w:r w:rsidRPr="0060030D">
        <w:t xml:space="preserve"> = 3.</w:t>
      </w:r>
    </w:p>
    <w:p w:rsidR="00F7729E" w:rsidRDefault="00F7729E" w:rsidP="00F7729E"/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pStyle w:val="Subttulo"/>
        <w:rPr>
          <w:sz w:val="24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Default="00F7729E" w:rsidP="00F7729E">
      <w:pPr>
        <w:rPr>
          <w:lang w:eastAsia="en-US"/>
        </w:rPr>
      </w:pPr>
    </w:p>
    <w:p w:rsidR="00F7729E" w:rsidRPr="00E16449" w:rsidRDefault="00F7729E" w:rsidP="00F7729E">
      <w:pPr>
        <w:pStyle w:val="MDPI41tablecaption"/>
      </w:pPr>
      <w:r w:rsidRPr="0060030D">
        <w:rPr>
          <w:b/>
        </w:rPr>
        <w:lastRenderedPageBreak/>
        <w:t>Table S4.</w:t>
      </w:r>
      <w:r w:rsidRPr="00E16449">
        <w:t xml:space="preserve"> Relative contribution of secondary structure features of the Amide I in the different stages of the process. SC) Silk Cocoons, internal or external faces, SF) Degummed silk fibroin and SFN) Silk fibroin nanoparticles prepared from SF degummed by: D1) Autoclave, D2) Na</w:t>
      </w:r>
      <w:r w:rsidRPr="00E16449">
        <w:rPr>
          <w:vertAlign w:val="subscript"/>
        </w:rPr>
        <w:t>2</w:t>
      </w:r>
      <w:r w:rsidRPr="00E16449">
        <w:t>CO</w:t>
      </w:r>
      <w:r w:rsidRPr="00E16449">
        <w:rPr>
          <w:vertAlign w:val="subscript"/>
        </w:rPr>
        <w:t>3</w:t>
      </w:r>
      <w:r w:rsidRPr="00E16449">
        <w:t xml:space="preserve"> 30´, D3) Na</w:t>
      </w:r>
      <w:r w:rsidRPr="00E16449">
        <w:rPr>
          <w:vertAlign w:val="subscript"/>
        </w:rPr>
        <w:t>2</w:t>
      </w:r>
      <w:r w:rsidRPr="00E16449">
        <w:t>CO</w:t>
      </w:r>
      <w:r w:rsidRPr="00E16449">
        <w:rPr>
          <w:vertAlign w:val="subscript"/>
        </w:rPr>
        <w:t>3</w:t>
      </w:r>
      <w:r w:rsidRPr="00E16449">
        <w:t xml:space="preserve"> 120´ and D4) Ultrasound obtained by FSD analysis of the Amide I infrared absorption band. n = 3, average ± standard deviation.</w:t>
      </w:r>
    </w:p>
    <w:tbl>
      <w:tblPr>
        <w:tblStyle w:val="Tablanormal2"/>
        <w:tblW w:w="4709" w:type="pct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1636"/>
        <w:gridCol w:w="2034"/>
        <w:gridCol w:w="1636"/>
        <w:gridCol w:w="1634"/>
      </w:tblGrid>
      <w:tr w:rsidR="00F7729E" w:rsidRPr="00020841" w:rsidTr="00F77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12" w:space="0" w:color="auto"/>
              <w:bottom w:val="single" w:sz="6" w:space="0" w:color="auto"/>
            </w:tcBorders>
            <w:noWrap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t>Sample</w:t>
            </w:r>
          </w:p>
        </w:tc>
        <w:tc>
          <w:tcPr>
            <w:tcW w:w="982" w:type="pct"/>
            <w:tcBorders>
              <w:top w:val="single" w:sz="12" w:space="0" w:color="auto"/>
              <w:bottom w:val="single" w:sz="6" w:space="0" w:color="auto"/>
            </w:tcBorders>
            <w:noWrap/>
          </w:tcPr>
          <w:p w:rsidR="00F7729E" w:rsidRPr="00020841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t>β-</w:t>
            </w:r>
            <w:r w:rsidRPr="00020841">
              <w:t>Sheet</w:t>
            </w:r>
          </w:p>
        </w:tc>
        <w:tc>
          <w:tcPr>
            <w:tcW w:w="1221" w:type="pct"/>
            <w:tcBorders>
              <w:top w:val="single" w:sz="12" w:space="0" w:color="auto"/>
              <w:bottom w:val="single" w:sz="6" w:space="0" w:color="auto"/>
            </w:tcBorders>
            <w:noWrap/>
          </w:tcPr>
          <w:p w:rsidR="00F7729E" w:rsidRPr="00020841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t>Random Coil</w:t>
            </w:r>
          </w:p>
        </w:tc>
        <w:tc>
          <w:tcPr>
            <w:tcW w:w="982" w:type="pct"/>
            <w:tcBorders>
              <w:top w:val="single" w:sz="12" w:space="0" w:color="auto"/>
              <w:bottom w:val="single" w:sz="6" w:space="0" w:color="auto"/>
            </w:tcBorders>
            <w:noWrap/>
          </w:tcPr>
          <w:p w:rsidR="00F7729E" w:rsidRPr="00020841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t>α</w:t>
            </w:r>
            <w:r w:rsidRPr="00020841">
              <w:t>-Helix</w:t>
            </w:r>
          </w:p>
        </w:tc>
        <w:tc>
          <w:tcPr>
            <w:tcW w:w="981" w:type="pct"/>
            <w:tcBorders>
              <w:top w:val="single" w:sz="12" w:space="0" w:color="auto"/>
              <w:bottom w:val="single" w:sz="6" w:space="0" w:color="auto"/>
            </w:tcBorders>
            <w:noWrap/>
          </w:tcPr>
          <w:p w:rsidR="00F7729E" w:rsidRPr="00020841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t>Turn</w:t>
            </w:r>
          </w:p>
        </w:tc>
      </w:tr>
      <w:tr w:rsidR="00F7729E" w:rsidRPr="00020841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top w:val="single" w:sz="6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Int</w:t>
            </w:r>
          </w:p>
        </w:tc>
        <w:tc>
          <w:tcPr>
            <w:tcW w:w="982" w:type="pct"/>
            <w:tcBorders>
              <w:top w:val="single" w:sz="6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37.2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3.3</w:t>
            </w:r>
          </w:p>
        </w:tc>
        <w:tc>
          <w:tcPr>
            <w:tcW w:w="1221" w:type="pct"/>
            <w:tcBorders>
              <w:top w:val="single" w:sz="6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32.1</w:t>
            </w:r>
            <w:r>
              <w:rPr>
                <w:rFonts w:ascii="Arial" w:hAnsi="Arial" w:cs="Arial"/>
                <w:sz w:val="20"/>
                <w:szCs w:val="20"/>
              </w:rPr>
              <w:t xml:space="preserve"> ± 2.2</w:t>
            </w:r>
          </w:p>
        </w:tc>
        <w:tc>
          <w:tcPr>
            <w:tcW w:w="982" w:type="pct"/>
            <w:tcBorders>
              <w:top w:val="single" w:sz="6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12.3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1.4</w:t>
            </w:r>
          </w:p>
        </w:tc>
        <w:tc>
          <w:tcPr>
            <w:tcW w:w="981" w:type="pct"/>
            <w:tcBorders>
              <w:top w:val="single" w:sz="6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18.4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1.3</w:t>
            </w:r>
          </w:p>
        </w:tc>
      </w:tr>
      <w:tr w:rsidR="00F7729E" w:rsidRPr="00020841" w:rsidTr="00F7729E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Ext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35.9</w:t>
            </w:r>
            <w:r>
              <w:rPr>
                <w:rFonts w:ascii="Arial" w:hAnsi="Arial" w:cs="Arial"/>
                <w:sz w:val="20"/>
                <w:szCs w:val="20"/>
              </w:rPr>
              <w:t xml:space="preserve"> ± 2.6</w:t>
            </w:r>
          </w:p>
        </w:tc>
        <w:tc>
          <w:tcPr>
            <w:tcW w:w="122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30.6</w:t>
            </w:r>
            <w:r>
              <w:rPr>
                <w:rFonts w:ascii="Arial" w:hAnsi="Arial" w:cs="Arial"/>
                <w:sz w:val="20"/>
                <w:szCs w:val="20"/>
              </w:rPr>
              <w:t xml:space="preserve"> ± 2.1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13.0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0.3</w:t>
            </w:r>
          </w:p>
        </w:tc>
        <w:tc>
          <w:tcPr>
            <w:tcW w:w="98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20.5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0.1</w:t>
            </w:r>
          </w:p>
        </w:tc>
      </w:tr>
      <w:tr w:rsidR="00F7729E" w:rsidRPr="00020841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SF-D1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53.6</w:t>
            </w:r>
            <w:r>
              <w:rPr>
                <w:rFonts w:ascii="Arial" w:hAnsi="Arial" w:cs="Arial"/>
                <w:sz w:val="20"/>
                <w:szCs w:val="20"/>
              </w:rPr>
              <w:t xml:space="preserve"> ± 2.6</w:t>
            </w:r>
          </w:p>
        </w:tc>
        <w:tc>
          <w:tcPr>
            <w:tcW w:w="122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21.5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1.0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9.7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0.6</w:t>
            </w:r>
          </w:p>
        </w:tc>
        <w:tc>
          <w:tcPr>
            <w:tcW w:w="98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15.2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0.7</w:t>
            </w:r>
          </w:p>
        </w:tc>
      </w:tr>
      <w:tr w:rsidR="00F7729E" w:rsidRPr="00020841" w:rsidTr="00F7729E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SF-D2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51.2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1.1</w:t>
            </w:r>
          </w:p>
        </w:tc>
        <w:tc>
          <w:tcPr>
            <w:tcW w:w="122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22.4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0.3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9.9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0.4</w:t>
            </w:r>
          </w:p>
        </w:tc>
        <w:tc>
          <w:tcPr>
            <w:tcW w:w="98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16.5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0.7</w:t>
            </w:r>
          </w:p>
        </w:tc>
      </w:tr>
      <w:tr w:rsidR="00F7729E" w:rsidRPr="00020841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SF-D3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50.0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1.0</w:t>
            </w:r>
          </w:p>
        </w:tc>
        <w:tc>
          <w:tcPr>
            <w:tcW w:w="122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24.5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1.1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10.0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0.2</w:t>
            </w:r>
          </w:p>
        </w:tc>
        <w:tc>
          <w:tcPr>
            <w:tcW w:w="98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15.5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0.7</w:t>
            </w:r>
          </w:p>
        </w:tc>
      </w:tr>
      <w:tr w:rsidR="00F7729E" w:rsidRPr="00020841" w:rsidTr="00F7729E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SF-D4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46.7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0.8</w:t>
            </w:r>
          </w:p>
        </w:tc>
        <w:tc>
          <w:tcPr>
            <w:tcW w:w="122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21.6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0.1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11.2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0.6</w:t>
            </w:r>
          </w:p>
        </w:tc>
        <w:tc>
          <w:tcPr>
            <w:tcW w:w="98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20.5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0.4</w:t>
            </w:r>
          </w:p>
        </w:tc>
      </w:tr>
      <w:tr w:rsidR="00F7729E" w:rsidRPr="00020841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SFN-D1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59.2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0.6</w:t>
            </w:r>
          </w:p>
        </w:tc>
        <w:tc>
          <w:tcPr>
            <w:tcW w:w="122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20.4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0.1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8.2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0.2</w:t>
            </w:r>
          </w:p>
        </w:tc>
        <w:tc>
          <w:tcPr>
            <w:tcW w:w="98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12.2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0.5</w:t>
            </w:r>
          </w:p>
        </w:tc>
      </w:tr>
      <w:tr w:rsidR="00F7729E" w:rsidRPr="00020841" w:rsidTr="00F7729E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SFN-D2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58.9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1.0</w:t>
            </w:r>
          </w:p>
        </w:tc>
        <w:tc>
          <w:tcPr>
            <w:tcW w:w="122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21.3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0.7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8.1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0.3</w:t>
            </w:r>
          </w:p>
        </w:tc>
        <w:tc>
          <w:tcPr>
            <w:tcW w:w="98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11.7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0.5</w:t>
            </w:r>
          </w:p>
        </w:tc>
      </w:tr>
      <w:tr w:rsidR="00F7729E" w:rsidRPr="00020841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SFN-D3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60.2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1.0</w:t>
            </w:r>
          </w:p>
        </w:tc>
        <w:tc>
          <w:tcPr>
            <w:tcW w:w="122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20.4</w:t>
            </w:r>
            <w:r>
              <w:rPr>
                <w:rFonts w:ascii="Arial" w:hAnsi="Arial" w:cs="Arial"/>
                <w:sz w:val="20"/>
                <w:szCs w:val="20"/>
              </w:rPr>
              <w:t xml:space="preserve"> ± 1.0</w:t>
            </w:r>
          </w:p>
        </w:tc>
        <w:tc>
          <w:tcPr>
            <w:tcW w:w="982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7.1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0.8</w:t>
            </w:r>
          </w:p>
        </w:tc>
        <w:tc>
          <w:tcPr>
            <w:tcW w:w="981" w:type="pct"/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12.2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0.7</w:t>
            </w:r>
          </w:p>
        </w:tc>
      </w:tr>
      <w:tr w:rsidR="00F7729E" w:rsidRPr="00020841" w:rsidTr="00F7729E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bottom w:val="single" w:sz="12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SFN-D4</w:t>
            </w:r>
          </w:p>
        </w:tc>
        <w:tc>
          <w:tcPr>
            <w:tcW w:w="982" w:type="pct"/>
            <w:tcBorders>
              <w:bottom w:val="single" w:sz="12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55.4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0.7</w:t>
            </w:r>
          </w:p>
        </w:tc>
        <w:tc>
          <w:tcPr>
            <w:tcW w:w="1221" w:type="pct"/>
            <w:tcBorders>
              <w:bottom w:val="single" w:sz="12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21.9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0.4 </w:t>
            </w:r>
          </w:p>
        </w:tc>
        <w:tc>
          <w:tcPr>
            <w:tcW w:w="982" w:type="pct"/>
            <w:tcBorders>
              <w:bottom w:val="single" w:sz="12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8.4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0.5</w:t>
            </w:r>
          </w:p>
        </w:tc>
        <w:tc>
          <w:tcPr>
            <w:tcW w:w="981" w:type="pct"/>
            <w:tcBorders>
              <w:bottom w:val="single" w:sz="12" w:space="0" w:color="auto"/>
            </w:tcBorders>
            <w:noWrap/>
            <w:hideMark/>
          </w:tcPr>
          <w:p w:rsidR="00F7729E" w:rsidRPr="00020841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20841">
              <w:rPr>
                <w:rFonts w:ascii="Arial" w:hAnsi="Arial" w:cs="Arial"/>
                <w:sz w:val="20"/>
                <w:szCs w:val="20"/>
              </w:rPr>
              <w:t>14.3</w:t>
            </w:r>
            <w:r>
              <w:rPr>
                <w:rFonts w:ascii="Arial" w:hAnsi="Arial" w:cs="Arial"/>
                <w:sz w:val="20"/>
                <w:szCs w:val="20"/>
              </w:rPr>
              <w:t xml:space="preserve"> ± 0.8 </w:t>
            </w:r>
          </w:p>
        </w:tc>
      </w:tr>
    </w:tbl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>
      <w:pPr>
        <w:rPr>
          <w:b/>
        </w:rPr>
      </w:pPr>
    </w:p>
    <w:p w:rsidR="00F7729E" w:rsidRDefault="00F7729E" w:rsidP="00F7729E">
      <w:pPr>
        <w:rPr>
          <w:b/>
        </w:rPr>
      </w:pPr>
    </w:p>
    <w:p w:rsidR="00F7729E" w:rsidRDefault="00F7729E" w:rsidP="00F7729E">
      <w:pPr>
        <w:rPr>
          <w:b/>
        </w:rPr>
      </w:pPr>
    </w:p>
    <w:p w:rsidR="00F7729E" w:rsidRDefault="00F7729E" w:rsidP="00F7729E">
      <w:pPr>
        <w:rPr>
          <w:b/>
        </w:rPr>
      </w:pPr>
    </w:p>
    <w:p w:rsidR="00F7729E" w:rsidRDefault="00F7729E" w:rsidP="00F7729E">
      <w:pPr>
        <w:rPr>
          <w:b/>
        </w:rPr>
      </w:pPr>
    </w:p>
    <w:p w:rsidR="00F7729E" w:rsidRDefault="00F7729E" w:rsidP="00F7729E">
      <w:pPr>
        <w:rPr>
          <w:b/>
        </w:rPr>
      </w:pPr>
    </w:p>
    <w:p w:rsidR="00F7729E" w:rsidRPr="00E16449" w:rsidRDefault="00F7729E" w:rsidP="00F7729E">
      <w:pPr>
        <w:pStyle w:val="MDPI41tablecaption"/>
      </w:pPr>
      <w:r w:rsidRPr="0060030D">
        <w:rPr>
          <w:b/>
        </w:rPr>
        <w:lastRenderedPageBreak/>
        <w:t>Table S5.</w:t>
      </w:r>
      <w:r w:rsidRPr="00E16449">
        <w:t xml:space="preserve"> Analysis of variance (ANOVA) of the relative contribution of secondary structure (n = 3).</w:t>
      </w:r>
    </w:p>
    <w:tbl>
      <w:tblPr>
        <w:tblStyle w:val="Tablanormal2"/>
        <w:tblW w:w="0" w:type="auto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3"/>
        <w:gridCol w:w="1209"/>
        <w:gridCol w:w="1867"/>
        <w:gridCol w:w="1417"/>
        <w:gridCol w:w="1558"/>
      </w:tblGrid>
      <w:tr w:rsidR="00F7729E" w:rsidRPr="00897B2D" w:rsidTr="00F77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Tukey's multiple comparisons test</w:t>
            </w:r>
          </w:p>
        </w:tc>
        <w:tc>
          <w:tcPr>
            <w:tcW w:w="1209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Mean Diff.</w:t>
            </w:r>
          </w:p>
        </w:tc>
        <w:tc>
          <w:tcPr>
            <w:tcW w:w="1867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95.00% CI of diff.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Significant?</w:t>
            </w:r>
          </w:p>
        </w:tc>
        <w:tc>
          <w:tcPr>
            <w:tcW w:w="1558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Adjusted P Value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</w:p>
        </w:tc>
        <w:tc>
          <w:tcPr>
            <w:tcW w:w="1209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F7729E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7729E">
              <w:rPr>
                <w:b/>
              </w:rPr>
              <w:t>β-Sheet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SF-D2</w:t>
            </w:r>
          </w:p>
        </w:tc>
        <w:tc>
          <w:tcPr>
            <w:tcW w:w="1209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2.4</w:t>
            </w:r>
          </w:p>
        </w:tc>
        <w:tc>
          <w:tcPr>
            <w:tcW w:w="1867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-0.6805 to 5.480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0.2661</w:t>
            </w:r>
          </w:p>
        </w:tc>
      </w:tr>
      <w:tr w:rsidR="00F7729E" w:rsidRPr="0060030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3.6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0.5195 to 6.680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0.0098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6.9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3.820 to 9.980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&lt;0.0001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SF-D2 vs. SF-D3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1.2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-1.880 to 4.280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0.9579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SF-D2 vs. SF-D4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4.5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1.420 to 7.580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0.0004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SF-D3 vs. SF-D4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3.3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0.2195 to 6.380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0.026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SFN-D2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0.2837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-2.797 to 3.364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-1.02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-4.101 to 2.060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0.9855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3.784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0.7032 to 6.864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0.0052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SFN-D2 vs. SFN-D3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-1.304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-4.385 to 1.776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0.9305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SFN-D2 vs. SFN-D4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3.5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0.4195 to 6.580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0.0137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SFN-D3 vs. SFN-D4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4.804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1.724 to 7.885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0.0001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</w:tcPr>
          <w:p w:rsidR="00F7729E" w:rsidRPr="00897B2D" w:rsidRDefault="00F7729E" w:rsidP="00F7729E">
            <w:pPr>
              <w:pStyle w:val="MDPI42tablebody"/>
            </w:pPr>
          </w:p>
        </w:tc>
        <w:tc>
          <w:tcPr>
            <w:tcW w:w="1209" w:type="dxa"/>
            <w:noWrap/>
            <w:vAlign w:val="center"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noWrap/>
            <w:vAlign w:val="center"/>
          </w:tcPr>
          <w:p w:rsidR="00F7729E" w:rsidRPr="00C71660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noWrap/>
            <w:vAlign w:val="center"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noWrap/>
            <w:vAlign w:val="center"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</w:p>
        </w:tc>
        <w:tc>
          <w:tcPr>
            <w:tcW w:w="1209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F7729E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7729E">
              <w:rPr>
                <w:b/>
              </w:rPr>
              <w:t>Random Coil</w:t>
            </w:r>
          </w:p>
        </w:tc>
        <w:tc>
          <w:tcPr>
            <w:tcW w:w="1417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F7729E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SF-D2</w:t>
            </w:r>
          </w:p>
        </w:tc>
        <w:tc>
          <w:tcPr>
            <w:tcW w:w="1209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-0.9</w:t>
            </w:r>
          </w:p>
        </w:tc>
        <w:tc>
          <w:tcPr>
            <w:tcW w:w="1867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-3.980 to 2.180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0.9941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-3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-6.080 to</w:t>
            </w:r>
            <w:r>
              <w:t xml:space="preserve"> </w:t>
            </w:r>
            <w:r w:rsidRPr="00897B2D">
              <w:t>0.08047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0.0628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-0.1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-3.180 to 2.980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SF-D2 vs. SF-D3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-2.1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-5.180 to 0.9805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0.453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SF-D2 vs. SF-D4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0.8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-2.280 to 3.880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0.9976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SF-D3 vs. SF-D4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2.9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-0.1805 to 5.980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0.0824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SFN-D2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-0.8918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-3.972 to 2.189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0.9945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-3.080 to 3.080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-1.492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-4.572 to 1.589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0.8555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SFN-D2 vs. SFN-D3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0.8918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-2.189 to 3.972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0.9945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SFN-D2 vs. SFN-D4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-0.6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-3.680 to 2.480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0.9998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SFN-D3 vs. SFN-D4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-1.492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-4.572 to 1.589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0.8555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</w:tcPr>
          <w:p w:rsidR="00F7729E" w:rsidRPr="00897B2D" w:rsidRDefault="00F7729E" w:rsidP="00F7729E">
            <w:pPr>
              <w:pStyle w:val="MDPI42tablebody"/>
            </w:pPr>
          </w:p>
        </w:tc>
        <w:tc>
          <w:tcPr>
            <w:tcW w:w="1209" w:type="dxa"/>
            <w:noWrap/>
            <w:vAlign w:val="center"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noWrap/>
            <w:vAlign w:val="center"/>
          </w:tcPr>
          <w:p w:rsidR="00F7729E" w:rsidRPr="00C71660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noWrap/>
            <w:vAlign w:val="center"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noWrap/>
            <w:vAlign w:val="center"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</w:p>
        </w:tc>
        <w:tc>
          <w:tcPr>
            <w:tcW w:w="1209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F7729E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7729E">
              <w:rPr>
                <w:b/>
              </w:rPr>
              <w:t>α-Helix</w:t>
            </w:r>
          </w:p>
        </w:tc>
        <w:tc>
          <w:tcPr>
            <w:tcW w:w="1417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SF-D2</w:t>
            </w:r>
          </w:p>
        </w:tc>
        <w:tc>
          <w:tcPr>
            <w:tcW w:w="1209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-0.2</w:t>
            </w:r>
          </w:p>
        </w:tc>
        <w:tc>
          <w:tcPr>
            <w:tcW w:w="1867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-3.280 to 2.880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-0.3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-3.380 to 2.780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-1.5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-4.580 to 1.580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0.8515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SF-D2 vs. SF-D3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-0.1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-3.180 to 2.980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SF-D2 vs. SF-D4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-1.3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-4.380 to 1.780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0.9317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SF-D3 vs. SF-D4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-1.2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-4.280 to 1.880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0.9579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SFN-D2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0.06327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-3.017 to 3.144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1.02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-2.060 to 4.101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0.9855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-0.2367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-3.317 to 2.844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SFN-D2 vs. SFN-D3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0.9571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-2.123 to 4.038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0.9908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SFN-D2 vs. SFN-D4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-0.3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-3.380 to 2.780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SFN-D3 vs. SFN-D4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-1.257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-4.338 to 1.823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0.944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noWrap/>
            <w:vAlign w:val="center"/>
          </w:tcPr>
          <w:p w:rsidR="00F7729E" w:rsidRPr="00C71660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</w:p>
        </w:tc>
        <w:tc>
          <w:tcPr>
            <w:tcW w:w="1209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67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F7729E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7729E">
              <w:rPr>
                <w:b/>
              </w:rPr>
              <w:t>β-Turn</w:t>
            </w:r>
          </w:p>
        </w:tc>
        <w:tc>
          <w:tcPr>
            <w:tcW w:w="1417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none" w:sz="0" w:space="0" w:color="auto"/>
              <w:bottom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SF-D2</w:t>
            </w:r>
          </w:p>
        </w:tc>
        <w:tc>
          <w:tcPr>
            <w:tcW w:w="1209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-1.3</w:t>
            </w:r>
          </w:p>
        </w:tc>
        <w:tc>
          <w:tcPr>
            <w:tcW w:w="1867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-4.380 to 1.780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single" w:sz="6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0.9317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lastRenderedPageBreak/>
              <w:t>SF-D1 vs. SF-D3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-0.3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-3.380 to 2.780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SF-D1 vs. SF-D4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-5.3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-8.380 to -2.220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&lt;0.0001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SF-D2 vs. SF-D3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1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-2.080 to 4.080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0.9874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SF-D2 vs. SF-D4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-4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-7.080 to -0.9195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0.0024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SF-D3 vs. SF-D4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-5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-8.080 to -1.920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Yes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&lt;0.0001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SFN-D2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0.5449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-2.536 to 3.625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0.9999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7.105</w:t>
            </w:r>
            <w:r>
              <w:t>e</w:t>
            </w:r>
            <w:r w:rsidRPr="00897B2D">
              <w:t>-15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-3.080 to 3.080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&gt;0.9999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SFN-D1 vs. SFN-D4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-2.055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-5.136 to 1.025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0.4846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SFN-D2 vs. SFN-D3</w:t>
            </w:r>
          </w:p>
        </w:tc>
        <w:tc>
          <w:tcPr>
            <w:tcW w:w="120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-0.5449</w:t>
            </w:r>
          </w:p>
        </w:tc>
        <w:tc>
          <w:tcPr>
            <w:tcW w:w="186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-3.625 to 2.536</w:t>
            </w:r>
          </w:p>
        </w:tc>
        <w:tc>
          <w:tcPr>
            <w:tcW w:w="1417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0.9999</w:t>
            </w:r>
          </w:p>
        </w:tc>
      </w:tr>
      <w:tr w:rsidR="00F7729E" w:rsidRPr="00897B2D" w:rsidTr="00F7729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SFN-D2 vs. SFN-D4</w:t>
            </w:r>
          </w:p>
        </w:tc>
        <w:tc>
          <w:tcPr>
            <w:tcW w:w="1209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-2.6</w:t>
            </w:r>
          </w:p>
        </w:tc>
        <w:tc>
          <w:tcPr>
            <w:tcW w:w="186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-5.680 to 0.4805</w:t>
            </w:r>
          </w:p>
        </w:tc>
        <w:tc>
          <w:tcPr>
            <w:tcW w:w="1417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97B2D">
              <w:t>0.1733</w:t>
            </w:r>
          </w:p>
        </w:tc>
      </w:tr>
      <w:tr w:rsidR="00F7729E" w:rsidRPr="00897B2D" w:rsidTr="00F77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  <w:tcBorders>
              <w:top w:val="none" w:sz="0" w:space="0" w:color="auto"/>
              <w:bottom w:val="single" w:sz="12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</w:pPr>
            <w:r w:rsidRPr="00897B2D">
              <w:t>SFN-D3 vs. SFN-D4</w:t>
            </w:r>
          </w:p>
        </w:tc>
        <w:tc>
          <w:tcPr>
            <w:tcW w:w="1209" w:type="dxa"/>
            <w:tcBorders>
              <w:top w:val="none" w:sz="0" w:space="0" w:color="auto"/>
              <w:bottom w:val="single" w:sz="12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-2.055</w:t>
            </w:r>
          </w:p>
        </w:tc>
        <w:tc>
          <w:tcPr>
            <w:tcW w:w="1867" w:type="dxa"/>
            <w:tcBorders>
              <w:top w:val="none" w:sz="0" w:space="0" w:color="auto"/>
              <w:bottom w:val="single" w:sz="12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-5.136 to 1.025</w:t>
            </w:r>
          </w:p>
        </w:tc>
        <w:tc>
          <w:tcPr>
            <w:tcW w:w="1417" w:type="dxa"/>
            <w:tcBorders>
              <w:top w:val="none" w:sz="0" w:space="0" w:color="auto"/>
              <w:bottom w:val="single" w:sz="12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No</w:t>
            </w:r>
          </w:p>
        </w:tc>
        <w:tc>
          <w:tcPr>
            <w:tcW w:w="1558" w:type="dxa"/>
            <w:tcBorders>
              <w:top w:val="none" w:sz="0" w:space="0" w:color="auto"/>
              <w:bottom w:val="single" w:sz="12" w:space="0" w:color="auto"/>
            </w:tcBorders>
            <w:noWrap/>
            <w:vAlign w:val="center"/>
            <w:hideMark/>
          </w:tcPr>
          <w:p w:rsidR="00F7729E" w:rsidRPr="00897B2D" w:rsidRDefault="00F7729E" w:rsidP="00F7729E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7B2D">
              <w:t>0.4846</w:t>
            </w:r>
          </w:p>
        </w:tc>
      </w:tr>
    </w:tbl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Default="00F7729E" w:rsidP="00F7729E"/>
    <w:p w:rsidR="00F7729E" w:rsidRPr="00FB0E1C" w:rsidRDefault="00F7729E" w:rsidP="00F7729E"/>
    <w:p w:rsidR="00F7729E" w:rsidRPr="00F7729E" w:rsidRDefault="00F7729E" w:rsidP="00F7729E">
      <w:pPr>
        <w:rPr>
          <w:lang w:bidi="en-US"/>
        </w:rPr>
      </w:pPr>
    </w:p>
    <w:sectPr w:rsidR="00F7729E" w:rsidRPr="00F7729E" w:rsidSect="00606C8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8C2" w:rsidRDefault="009728C2">
      <w:pPr>
        <w:spacing w:line="240" w:lineRule="auto"/>
      </w:pPr>
      <w:r>
        <w:separator/>
      </w:r>
    </w:p>
  </w:endnote>
  <w:endnote w:type="continuationSeparator" w:id="0">
    <w:p w:rsidR="009728C2" w:rsidRDefault="009728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Time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ChemBats2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C4E59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CF9" w:rsidRPr="00EB0F94" w:rsidRDefault="00F37CF9" w:rsidP="00B86EA6">
    <w:pPr>
      <w:pStyle w:val="Piedepgin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CF9" w:rsidRPr="008B308E" w:rsidRDefault="00F37CF9" w:rsidP="00B86EA6">
    <w:pPr>
      <w:pStyle w:val="MDPIfooterfirstpage"/>
      <w:spacing w:line="240" w:lineRule="auto"/>
      <w:jc w:val="both"/>
      <w:rPr>
        <w:lang w:val="fr-CH"/>
      </w:rPr>
    </w:pPr>
    <w:r w:rsidRPr="00C2521A">
      <w:rPr>
        <w:i/>
        <w:szCs w:val="16"/>
      </w:rPr>
      <w:t>Polymers</w:t>
    </w:r>
    <w:r w:rsidRPr="00A70616">
      <w:rPr>
        <w:iCs/>
        <w:szCs w:val="16"/>
      </w:rPr>
      <w:t xml:space="preserve"> </w:t>
    </w:r>
    <w:r w:rsidRPr="00726EFA">
      <w:rPr>
        <w:b/>
        <w:bCs/>
        <w:iCs/>
        <w:szCs w:val="16"/>
      </w:rPr>
      <w:t>2019</w:t>
    </w:r>
    <w:r w:rsidRPr="00726EFA">
      <w:rPr>
        <w:bCs/>
        <w:iCs/>
        <w:szCs w:val="16"/>
      </w:rPr>
      <w:t xml:space="preserve">, </w:t>
    </w:r>
    <w:r w:rsidRPr="00726EFA">
      <w:rPr>
        <w:bCs/>
        <w:i/>
        <w:iCs/>
        <w:szCs w:val="16"/>
      </w:rPr>
      <w:t>11</w:t>
    </w:r>
    <w:r w:rsidRPr="00726EFA">
      <w:rPr>
        <w:bCs/>
        <w:iCs/>
        <w:szCs w:val="16"/>
      </w:rPr>
      <w:t xml:space="preserve">, </w:t>
    </w:r>
    <w:r>
      <w:rPr>
        <w:bCs/>
        <w:iCs/>
        <w:szCs w:val="16"/>
      </w:rPr>
      <w:t xml:space="preserve">x; </w:t>
    </w:r>
    <w:proofErr w:type="spellStart"/>
    <w:r>
      <w:rPr>
        <w:bCs/>
        <w:iCs/>
        <w:szCs w:val="16"/>
      </w:rPr>
      <w:t>doi</w:t>
    </w:r>
    <w:proofErr w:type="spellEnd"/>
    <w:r>
      <w:rPr>
        <w:bCs/>
        <w:iCs/>
        <w:szCs w:val="16"/>
      </w:rPr>
      <w:t>: FOR PEER REVIEW</w:t>
    </w:r>
    <w:r w:rsidRPr="008B308E">
      <w:rPr>
        <w:lang w:val="fr-CH"/>
      </w:rPr>
      <w:tab/>
      <w:t>www.mdpi.com/journal/</w:t>
    </w:r>
    <w:r w:rsidRPr="00C2521A">
      <w:t>polymers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8C2" w:rsidRDefault="009728C2">
      <w:pPr>
        <w:spacing w:line="240" w:lineRule="auto"/>
      </w:pPr>
      <w:r>
        <w:separator/>
      </w:r>
    </w:p>
  </w:footnote>
  <w:footnote w:type="continuationSeparator" w:id="0">
    <w:p w:rsidR="009728C2" w:rsidRDefault="009728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CF9" w:rsidRDefault="00F37CF9" w:rsidP="00B86EA6">
    <w:pPr>
      <w:pStyle w:val="Encabezad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CF9" w:rsidRPr="00CE1828" w:rsidRDefault="00F37CF9" w:rsidP="00767828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Polymers </w:t>
    </w:r>
    <w:r w:rsidRPr="00726EFA">
      <w:rPr>
        <w:rFonts w:ascii="Palatino Linotype" w:hAnsi="Palatino Linotype"/>
        <w:b/>
        <w:sz w:val="16"/>
      </w:rPr>
      <w:t>2019</w:t>
    </w:r>
    <w:r w:rsidRPr="00726EFA">
      <w:rPr>
        <w:rFonts w:ascii="Palatino Linotype" w:hAnsi="Palatino Linotype"/>
        <w:sz w:val="16"/>
      </w:rPr>
      <w:t xml:space="preserve">, </w:t>
    </w:r>
    <w:r w:rsidRPr="00726EFA">
      <w:rPr>
        <w:rFonts w:ascii="Palatino Linotype" w:hAnsi="Palatino Linotype"/>
        <w:i/>
        <w:sz w:val="16"/>
      </w:rPr>
      <w:t>11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B83E08">
      <w:rPr>
        <w:rFonts w:ascii="Palatino Linotype" w:hAnsi="Palatino Linotype"/>
        <w:noProof/>
        <w:sz w:val="16"/>
      </w:rPr>
      <w:t>8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B83E08">
      <w:rPr>
        <w:rFonts w:ascii="Palatino Linotype" w:hAnsi="Palatino Linotype"/>
        <w:noProof/>
        <w:sz w:val="16"/>
      </w:rPr>
      <w:t>8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CF9" w:rsidRDefault="00F37CF9" w:rsidP="00B86EA6">
    <w:pPr>
      <w:pStyle w:val="MDPIheaderjournallogo"/>
    </w:pPr>
    <w:r w:rsidRPr="00A3722C">
      <w:rPr>
        <w:i w:val="0"/>
        <w:noProof/>
        <w:szCs w:val="16"/>
        <w:lang w:val="es-ES" w:eastAsia="es-E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37CF9" w:rsidRDefault="00F37CF9" w:rsidP="00B86EA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06C84">
                            <w:rPr>
                              <w:i w:val="0"/>
                              <w:noProof/>
                              <w:szCs w:val="16"/>
                              <w:lang w:val="es-ES" w:eastAsia="es-ES"/>
                            </w:rPr>
                            <w:drawing>
                              <wp:inline distT="0" distB="0" distL="0" distR="0">
                                <wp:extent cx="539750" cy="355600"/>
                                <wp:effectExtent l="0" t="0" r="0" b="635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75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F37CF9" w:rsidRDefault="00F37CF9" w:rsidP="00B86EA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06C84">
                      <w:rPr>
                        <w:i w:val="0"/>
                        <w:noProof/>
                        <w:szCs w:val="16"/>
                        <w:lang w:val="es-ES" w:eastAsia="es-ES"/>
                      </w:rPr>
                      <w:drawing>
                        <wp:inline distT="0" distB="0" distL="0" distR="0">
                          <wp:extent cx="539750" cy="355600"/>
                          <wp:effectExtent l="0" t="0" r="0" b="635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75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es-ES" w:eastAsia="es-ES"/>
      </w:rPr>
      <w:drawing>
        <wp:inline distT="0" distB="0" distL="0" distR="0">
          <wp:extent cx="1631950" cy="431800"/>
          <wp:effectExtent l="0" t="0" r="6350" b="6350"/>
          <wp:docPr id="5" name="Picture 3" descr="C:\Users\home\Desktop\logos\polym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polymer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874"/>
    <w:rsid w:val="000150B3"/>
    <w:rsid w:val="00015C8D"/>
    <w:rsid w:val="00017CD7"/>
    <w:rsid w:val="00024399"/>
    <w:rsid w:val="00030047"/>
    <w:rsid w:val="00030239"/>
    <w:rsid w:val="00056884"/>
    <w:rsid w:val="000A43E5"/>
    <w:rsid w:val="000C44B3"/>
    <w:rsid w:val="000C5A75"/>
    <w:rsid w:val="000F3DCF"/>
    <w:rsid w:val="0017049D"/>
    <w:rsid w:val="0017483E"/>
    <w:rsid w:val="001B020A"/>
    <w:rsid w:val="001C1688"/>
    <w:rsid w:val="001D084C"/>
    <w:rsid w:val="001E2AEB"/>
    <w:rsid w:val="0024543C"/>
    <w:rsid w:val="00256FD8"/>
    <w:rsid w:val="00270A13"/>
    <w:rsid w:val="00286179"/>
    <w:rsid w:val="002B1B9A"/>
    <w:rsid w:val="002C0F21"/>
    <w:rsid w:val="002D5AF4"/>
    <w:rsid w:val="002E3844"/>
    <w:rsid w:val="00326141"/>
    <w:rsid w:val="003C22BF"/>
    <w:rsid w:val="003D5D8C"/>
    <w:rsid w:val="00401D30"/>
    <w:rsid w:val="00423D62"/>
    <w:rsid w:val="004254AB"/>
    <w:rsid w:val="004444B0"/>
    <w:rsid w:val="0047528A"/>
    <w:rsid w:val="00491E1A"/>
    <w:rsid w:val="0049306D"/>
    <w:rsid w:val="004C6AE9"/>
    <w:rsid w:val="005719EA"/>
    <w:rsid w:val="00591E8B"/>
    <w:rsid w:val="005C7786"/>
    <w:rsid w:val="005F3F41"/>
    <w:rsid w:val="0060631B"/>
    <w:rsid w:val="00606C84"/>
    <w:rsid w:val="006173A4"/>
    <w:rsid w:val="00620D37"/>
    <w:rsid w:val="00692393"/>
    <w:rsid w:val="006D38D3"/>
    <w:rsid w:val="00726EFA"/>
    <w:rsid w:val="00742DDE"/>
    <w:rsid w:val="00767828"/>
    <w:rsid w:val="007857BD"/>
    <w:rsid w:val="008529E8"/>
    <w:rsid w:val="00864B06"/>
    <w:rsid w:val="008852D8"/>
    <w:rsid w:val="00892865"/>
    <w:rsid w:val="00897111"/>
    <w:rsid w:val="00963A8D"/>
    <w:rsid w:val="00963D3E"/>
    <w:rsid w:val="009728C2"/>
    <w:rsid w:val="009B160F"/>
    <w:rsid w:val="009E21CC"/>
    <w:rsid w:val="009F70E6"/>
    <w:rsid w:val="00A1092B"/>
    <w:rsid w:val="00A21DC0"/>
    <w:rsid w:val="00A50874"/>
    <w:rsid w:val="00B52F29"/>
    <w:rsid w:val="00B57BB0"/>
    <w:rsid w:val="00B71DB5"/>
    <w:rsid w:val="00B83E08"/>
    <w:rsid w:val="00B85E26"/>
    <w:rsid w:val="00B86EA6"/>
    <w:rsid w:val="00BA6C5A"/>
    <w:rsid w:val="00BB4DE0"/>
    <w:rsid w:val="00BD2643"/>
    <w:rsid w:val="00C07014"/>
    <w:rsid w:val="00C21629"/>
    <w:rsid w:val="00C67102"/>
    <w:rsid w:val="00C742DA"/>
    <w:rsid w:val="00C92F24"/>
    <w:rsid w:val="00C93235"/>
    <w:rsid w:val="00CA50C8"/>
    <w:rsid w:val="00CF3D91"/>
    <w:rsid w:val="00D96CB4"/>
    <w:rsid w:val="00DB3219"/>
    <w:rsid w:val="00DD3E5B"/>
    <w:rsid w:val="00E31990"/>
    <w:rsid w:val="00E374F2"/>
    <w:rsid w:val="00E55EFA"/>
    <w:rsid w:val="00E74800"/>
    <w:rsid w:val="00E96F40"/>
    <w:rsid w:val="00EA189B"/>
    <w:rsid w:val="00EC1F67"/>
    <w:rsid w:val="00F151A9"/>
    <w:rsid w:val="00F16A39"/>
    <w:rsid w:val="00F23FE9"/>
    <w:rsid w:val="00F37CF9"/>
    <w:rsid w:val="00F53C93"/>
    <w:rsid w:val="00F7729E"/>
    <w:rsid w:val="00FB436D"/>
    <w:rsid w:val="00FC2194"/>
    <w:rsid w:val="00FC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CEE2C"/>
  <w15:chartTrackingRefBased/>
  <w15:docId w15:val="{F1AE7A5A-B133-4CEB-9D1A-CB1B50FC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6C84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16A39"/>
    <w:pPr>
      <w:keepNext/>
      <w:keepLines/>
      <w:spacing w:after="240" w:line="480" w:lineRule="auto"/>
      <w:outlineLvl w:val="1"/>
    </w:pPr>
    <w:rPr>
      <w:rFonts w:asciiTheme="majorHAnsi" w:eastAsiaTheme="majorEastAsia" w:hAnsiTheme="majorHAnsi" w:cstheme="majorBidi"/>
      <w:i/>
      <w:color w:val="000000" w:themeColor="tex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06C8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06C84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06C84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06C84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06C84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06C84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06C84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06C84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anormal"/>
    <w:uiPriority w:val="99"/>
    <w:rsid w:val="00606C84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">
    <w:name w:val="Table Grid"/>
    <w:basedOn w:val="Tablanormal"/>
    <w:uiPriority w:val="39"/>
    <w:rsid w:val="00606C8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rsid w:val="00606C8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606C84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Encabezado">
    <w:name w:val="header"/>
    <w:basedOn w:val="Normal"/>
    <w:link w:val="EncabezadoCar"/>
    <w:uiPriority w:val="99"/>
    <w:rsid w:val="00606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EncabezadoCar">
    <w:name w:val="Encabezado Car"/>
    <w:link w:val="Encabezado"/>
    <w:uiPriority w:val="99"/>
    <w:rsid w:val="00606C84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06C84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606C84"/>
    <w:pPr>
      <w:ind w:firstLine="0"/>
    </w:pPr>
  </w:style>
  <w:style w:type="paragraph" w:customStyle="1" w:styleId="MDPI33textspaceafter">
    <w:name w:val="MDPI_3.3_text_space_after"/>
    <w:basedOn w:val="MDPI31text"/>
    <w:qFormat/>
    <w:rsid w:val="00606C84"/>
    <w:pPr>
      <w:spacing w:after="240"/>
    </w:pPr>
  </w:style>
  <w:style w:type="paragraph" w:customStyle="1" w:styleId="MDPI35textbeforelist">
    <w:name w:val="MDPI_3.5_text_before_list"/>
    <w:basedOn w:val="MDPI31text"/>
    <w:qFormat/>
    <w:rsid w:val="00606C84"/>
    <w:pPr>
      <w:spacing w:after="120"/>
    </w:pPr>
  </w:style>
  <w:style w:type="paragraph" w:customStyle="1" w:styleId="MDPI36textafterlist">
    <w:name w:val="MDPI_3.6_text_after_list"/>
    <w:basedOn w:val="MDPI31text"/>
    <w:qFormat/>
    <w:rsid w:val="00606C84"/>
    <w:pPr>
      <w:spacing w:before="120"/>
    </w:pPr>
  </w:style>
  <w:style w:type="paragraph" w:customStyle="1" w:styleId="MDPI37itemize">
    <w:name w:val="MDPI_3.7_itemize"/>
    <w:basedOn w:val="MDPI31text"/>
    <w:qFormat/>
    <w:rsid w:val="00606C84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06C84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06C84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06C84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06C84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606C84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EA189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06C84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06C84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06C84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606C84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06C84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06C84"/>
  </w:style>
  <w:style w:type="paragraph" w:customStyle="1" w:styleId="MDPIfooterfirstpage">
    <w:name w:val="MDPI_footer_firstpage"/>
    <w:basedOn w:val="Normal"/>
    <w:qFormat/>
    <w:rsid w:val="00606C84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606C84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606C84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06C84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06C84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606C84"/>
    <w:pPr>
      <w:numPr>
        <w:numId w:val="3"/>
      </w:numPr>
      <w:spacing w:before="0" w:line="260" w:lineRule="atLeast"/>
      <w:ind w:left="425" w:hanging="425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6C84"/>
    <w:pPr>
      <w:spacing w:line="240" w:lineRule="auto"/>
    </w:pPr>
    <w:rPr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06C84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merodelnea">
    <w:name w:val="line number"/>
    <w:basedOn w:val="Fuentedeprrafopredeter"/>
    <w:uiPriority w:val="99"/>
    <w:semiHidden/>
    <w:unhideWhenUsed/>
    <w:rsid w:val="00606C84"/>
  </w:style>
  <w:style w:type="table" w:customStyle="1" w:styleId="MDPI41threelinetable">
    <w:name w:val="MDPI_4.1_three_line_table"/>
    <w:basedOn w:val="Tablanormal"/>
    <w:uiPriority w:val="99"/>
    <w:rsid w:val="00EA189B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Segoe UI" w:hAnsi="Segoe U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vnculo">
    <w:name w:val="Hyperlink"/>
    <w:uiPriority w:val="99"/>
    <w:unhideWhenUsed/>
    <w:rsid w:val="00256FD8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17483E"/>
    <w:rPr>
      <w:color w:val="605E5C"/>
      <w:shd w:val="clear" w:color="auto" w:fill="E1DFDD"/>
    </w:rPr>
  </w:style>
  <w:style w:type="table" w:styleId="Tablanormal4">
    <w:name w:val="Plain Table 4"/>
    <w:basedOn w:val="Tablanormal"/>
    <w:uiPriority w:val="44"/>
    <w:rsid w:val="00726EF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F16A39"/>
    <w:rPr>
      <w:rFonts w:asciiTheme="majorHAnsi" w:eastAsiaTheme="majorEastAsia" w:hAnsiTheme="majorHAnsi" w:cstheme="majorBidi"/>
      <w:i/>
      <w:color w:val="000000" w:themeColor="text1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16A39"/>
    <w:rPr>
      <w:sz w:val="16"/>
      <w:szCs w:val="16"/>
    </w:rPr>
  </w:style>
  <w:style w:type="character" w:customStyle="1" w:styleId="title-text">
    <w:name w:val="title-text"/>
    <w:basedOn w:val="Fuentedeprrafopredeter"/>
    <w:rsid w:val="00F16A39"/>
  </w:style>
  <w:style w:type="paragraph" w:styleId="Subttulo">
    <w:name w:val="Subtitle"/>
    <w:basedOn w:val="Normal"/>
    <w:next w:val="Normal"/>
    <w:link w:val="SubttuloCar"/>
    <w:uiPriority w:val="11"/>
    <w:qFormat/>
    <w:rsid w:val="00F16A39"/>
    <w:pPr>
      <w:spacing w:line="240" w:lineRule="auto"/>
    </w:pPr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F16A39"/>
    <w:rPr>
      <w:rFonts w:asciiTheme="minorHAnsi" w:eastAsiaTheme="minorHAnsi" w:hAnsiTheme="minorHAnsi" w:cstheme="minorBidi"/>
      <w:lang w:val="en-US" w:eastAsia="en-US"/>
    </w:rPr>
  </w:style>
  <w:style w:type="table" w:styleId="Tabladelista2">
    <w:name w:val="List Table 2"/>
    <w:basedOn w:val="Tablanormal"/>
    <w:uiPriority w:val="47"/>
    <w:rsid w:val="00F37C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normal2">
    <w:name w:val="Plain Table 2"/>
    <w:basedOn w:val="Tablanormal"/>
    <w:uiPriority w:val="42"/>
    <w:rsid w:val="00F7729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6concolores">
    <w:name w:val="List Table 6 Colorful"/>
    <w:basedOn w:val="Tablanormal"/>
    <w:uiPriority w:val="51"/>
    <w:rsid w:val="00F7729E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ropbox\2018%20Efecto%20del%20desgomado%20en%20las%20nanos\Redacci&#243;n%20Art\Polymers%20IF%203.164\polymers-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27B99-18E7-4E07-903E-3E084DE0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polymers-template</Template>
  <TotalTime>0</TotalTime>
  <Pages>8</Pages>
  <Words>937</Words>
  <Characters>5156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PEREZ, ANTONIO ABEL</dc:creator>
  <cp:keywords/>
  <dc:description/>
  <cp:lastModifiedBy>gvilloracano@gmail.com</cp:lastModifiedBy>
  <cp:revision>2</cp:revision>
  <dcterms:created xsi:type="dcterms:W3CDTF">2019-10-31T10:42:00Z</dcterms:created>
  <dcterms:modified xsi:type="dcterms:W3CDTF">2019-10-31T10:42:00Z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17th edition (author-date)</vt:lpwstr>
  </property>
  <property fmtid="{D5CDD505-2E9C-101B-9397-08002B2CF9AE}" pid="6" name="Mendeley Recent Style Id 2_1">
    <vt:lpwstr>http://www.zotero.org/styles/european-journal-of-nuclear-medicine-and-molecular-imaging</vt:lpwstr>
  </property>
  <property fmtid="{D5CDD505-2E9C-101B-9397-08002B2CF9AE}" pid="7" name="Mendeley Recent Style Name 2_1">
    <vt:lpwstr>European Journal of Nuclear Medicine and Molecular Imaging</vt:lpwstr>
  </property>
  <property fmtid="{D5CDD505-2E9C-101B-9397-08002B2CF9AE}" pid="8" name="Mendeley Recent Style Id 3_1">
    <vt:lpwstr>http://www.zotero.org/styles/harvard1</vt:lpwstr>
  </property>
  <property fmtid="{D5CDD505-2E9C-101B-9397-08002B2CF9AE}" pid="9" name="Mendeley Recent Style Name 3_1">
    <vt:lpwstr>Harvard reference format 1 (deprecated)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http://www.zotero.org/styles/nano-micro-letters</vt:lpwstr>
  </property>
  <property fmtid="{D5CDD505-2E9C-101B-9397-08002B2CF9AE}" pid="17" name="Mendeley Recent Style Name 7_1">
    <vt:lpwstr>Nano-Micro Letters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http://www.zotero.org/styles/polymer</vt:lpwstr>
  </property>
  <property fmtid="{D5CDD505-2E9C-101B-9397-08002B2CF9AE}" pid="21" name="Mendeley Recent Style Name 9_1">
    <vt:lpwstr>Polymer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http://www.zotero.org/styles/polymer</vt:lpwstr>
  </property>
  <property fmtid="{D5CDD505-2E9C-101B-9397-08002B2CF9AE}" pid="24" name="Mendeley Unique User Id_1">
    <vt:lpwstr>c990ff02-e3c2-3dec-8d3a-6438812e04e0</vt:lpwstr>
  </property>
</Properties>
</file>